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rPr>
      </w:pPr>
      <w:r>
        <w:rPr>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pPr>
      <w:r>
        <w:rPr>
          <w:rFonts w:eastAsia="" w:cs="Times New Roman" w:eastAsiaTheme="minorEastAsia"/>
          <w:b/>
          <w:bCs/>
          <w:smallCaps/>
          <w:color w:val="000000"/>
          <w:spacing w:val="20"/>
          <w:kern w:val="0"/>
          <w:sz w:val="32"/>
          <w:szCs w:val="32"/>
          <w:shd w:fill="auto" w:val="clear"/>
          <w:lang w:val="pt-BR" w:eastAsia="pt-BR" w:bidi="ar-SA"/>
        </w:rPr>
        <w:t>MARINHA DO BRASIL</w:t>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pPr>
      <w:r>
        <w:rPr>
          <w:rFonts w:eastAsia="" w:cs="Times New Roman" w:eastAsiaTheme="minorEastAsia"/>
          <w:b/>
          <w:bCs/>
          <w:smallCaps/>
          <w:color w:val="000000"/>
          <w:spacing w:val="20"/>
          <w:kern w:val="0"/>
          <w:sz w:val="32"/>
          <w:szCs w:val="32"/>
          <w:shd w:fill="auto" w:val="clear"/>
          <w:lang w:val="pt-BR" w:eastAsia="pt-BR" w:bidi="ar-SA"/>
        </w:rPr>
        <w:t>COMANDO DO 4° DISTRITO NAVAL</w:t>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cs="Times New Roman"/>
          <w:b/>
          <w:b/>
          <w:bCs/>
          <w:smallCaps/>
          <w:spacing w:val="20"/>
          <w:sz w:val="68"/>
          <w:szCs w:val="68"/>
        </w:rPr>
      </w:pPr>
      <w:r>
        <w:rPr>
          <w:rFonts w:cs="Times New Roman"/>
          <w:b/>
          <w:bCs/>
          <w:smallCaps/>
          <w:spacing w:val="20"/>
          <w:sz w:val="68"/>
          <w:szCs w:val="68"/>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rPr>
      </w:pPr>
      <w:r>
        <w:rPr>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rPr>
      </w:pPr>
      <w:r>
        <w:rPr>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rPr>
      </w:pPr>
      <w:r>
        <w:rPr>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pPr>
      <w:r>
        <w:rPr>
          <w:rFonts w:cs="Times New Roman"/>
          <w:b/>
          <w:bCs/>
          <w:smallCaps/>
          <w:spacing w:val="20"/>
          <w:sz w:val="68"/>
          <w:szCs w:val="68"/>
          <w:shd w:fill="auto" w:val="clear"/>
        </w:rPr>
        <w:t>Edital de</w:t>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pPr>
      <w:r>
        <w:rPr>
          <w:rFonts w:cs="Times New Roman"/>
          <w:b/>
          <w:bCs/>
          <w:smallCaps/>
          <w:spacing w:val="20"/>
          <w:sz w:val="68"/>
          <w:szCs w:val="68"/>
          <w:shd w:fill="auto" w:val="clear"/>
        </w:rPr>
        <w:t>Credenciamento</w:t>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cs="Times New Roman"/>
          <w:b/>
          <w:b/>
          <w:bCs/>
          <w:smallCaps/>
          <w:spacing w:val="20"/>
          <w:sz w:val="68"/>
          <w:szCs w:val="68"/>
        </w:rPr>
      </w:pPr>
      <w:r>
        <w:rPr>
          <w:rFonts w:cs="Times New Roman"/>
          <w:b/>
          <w:bCs/>
          <w:smallCaps/>
          <w:spacing w:val="20"/>
          <w:sz w:val="68"/>
          <w:szCs w:val="68"/>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cs="Times New Roman"/>
          <w:b/>
          <w:b/>
          <w:bCs/>
          <w:smallCaps/>
          <w:spacing w:val="20"/>
          <w:sz w:val="68"/>
          <w:szCs w:val="68"/>
        </w:rPr>
      </w:pPr>
      <w:r>
        <w:rPr>
          <w:rFonts w:cs="Times New Roman"/>
          <w:b/>
          <w:bCs/>
          <w:smallCaps/>
          <w:spacing w:val="20"/>
          <w:sz w:val="68"/>
          <w:szCs w:val="68"/>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spacing w:lineRule="auto" w:line="240" w:before="0" w:after="0"/>
        <w:jc w:val="center"/>
        <w:rPr/>
      </w:pPr>
      <w:r>
        <w:rPr>
          <w:rFonts w:cs="Times New Roman"/>
          <w:b/>
          <w:bCs/>
          <w:smallCaps/>
          <w:spacing w:val="20"/>
          <w:sz w:val="32"/>
          <w:szCs w:val="32"/>
          <w:shd w:fill="auto" w:val="clear"/>
        </w:rPr>
        <w:t>CONVOCAÇÃO DE ORGANIZAÇÕES CIVIS DE SAÚDE (OCS), LOCALIZADAS NOS ESTADOS DO AMAPÁ, MARANHÃO, PARÁ E PIAUÍ, INTERESSADAS NA PRESTAÇÃO DE SERVIÇOS DE ATENÇÃO ESPECIALIZADA EM HABILITAÇÃO/REABILITAÇÃO FÍSICA, INTELECTUAL, AUDITIVA, VISUAL, TRANSTORNO DO ESPECTRO AUTISTA (TEA) E MÚLTIPLAS DEFICIÊNCIAS À PESSOA COM DEFICIÊNCIA, COM VISTAS A COMPLEMENTAR OS SERVIÇOS ESPECIALIZADOS DAS ORGANIZAÇÕES MILITARES DE SAÚDE (OMS).</w:t>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ascii="Calibri" w:hAnsi="Calibri"/>
        </w:rPr>
      </w:pPr>
      <w:r>
        <w:rPr>
          <w:shd w:fill="auto" w:val="clear"/>
        </w:rPr>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pPr>
      <w:r>
        <w:rPr>
          <w:rFonts w:eastAsia="" w:cs="Times New Roman" w:eastAsiaTheme="minorEastAsia"/>
          <w:b/>
          <w:bCs/>
          <w:smallCaps/>
          <w:color w:val="000000"/>
          <w:spacing w:val="20"/>
          <w:kern w:val="0"/>
          <w:sz w:val="32"/>
          <w:szCs w:val="32"/>
          <w:shd w:fill="auto" w:val="clear"/>
          <w:lang w:val="pt-BR" w:eastAsia="pt-BR" w:bidi="ar-SA"/>
        </w:rPr>
        <w:t>BELÉM-PA</w:t>
      </w:r>
      <w:r>
        <w:rPr>
          <w:rFonts w:cs="Times New Roman"/>
          <w:b/>
          <w:bCs/>
          <w:smallCaps/>
          <w:spacing w:val="20"/>
          <w:sz w:val="32"/>
          <w:szCs w:val="32"/>
          <w:shd w:fill="auto" w:val="clear"/>
        </w:rPr>
        <w:t xml:space="preserve"> – </w:t>
      </w:r>
      <w:r>
        <w:rPr>
          <w:rFonts w:eastAsia="" w:cs="Times New Roman"/>
          <w:b/>
          <w:bCs/>
          <w:smallCaps/>
          <w:color w:val="000000"/>
          <w:spacing w:val="20"/>
          <w:kern w:val="0"/>
          <w:sz w:val="32"/>
          <w:szCs w:val="32"/>
          <w:shd w:fill="auto" w:val="clear"/>
          <w:lang w:val="pt-BR" w:eastAsia="pt-BR" w:bidi="ar-SA"/>
        </w:rPr>
        <w:t>JULHO DE</w:t>
      </w:r>
      <w:r>
        <w:rPr>
          <w:rFonts w:cs="Times New Roman"/>
          <w:b/>
          <w:bCs/>
          <w:smallCaps/>
          <w:color w:val="000000"/>
          <w:spacing w:val="20"/>
          <w:sz w:val="32"/>
          <w:szCs w:val="32"/>
          <w:shd w:fill="auto" w:val="clear"/>
        </w:rPr>
        <w:t xml:space="preserve"> 2024</w:t>
      </w:r>
    </w:p>
    <w:p>
      <w:pPr>
        <w:pStyle w:val="Normal"/>
        <w:pBdr>
          <w:top w:val="single" w:sz="12" w:space="1" w:color="000000" w:shadow="1"/>
          <w:left w:val="single" w:sz="12" w:space="4" w:color="000000" w:shadow="1"/>
          <w:bottom w:val="single" w:sz="12" w:space="1" w:color="000000" w:shadow="1"/>
          <w:right w:val="single" w:sz="12" w:space="4" w:color="000000" w:shadow="1"/>
        </w:pBdr>
        <w:shd w:val="clear" w:color="auto" w:fill="D9D9D9"/>
        <w:jc w:val="center"/>
        <w:rPr>
          <w:rFonts w:cs="Times New Roman"/>
          <w:b/>
          <w:b/>
          <w:bCs/>
          <w:smallCaps/>
          <w:color w:val="FF0000"/>
          <w:spacing w:val="20"/>
          <w:sz w:val="32"/>
          <w:szCs w:val="32"/>
        </w:rPr>
      </w:pPr>
      <w:r>
        <w:rPr>
          <w:rFonts w:cs="Times New Roman"/>
          <w:b/>
          <w:bCs/>
          <w:smallCaps/>
          <w:color w:val="FF0000"/>
          <w:spacing w:val="20"/>
          <w:sz w:val="32"/>
          <w:szCs w:val="32"/>
          <w:shd w:fill="auto" w:val="clear"/>
        </w:rPr>
      </w:r>
      <w:r>
        <w:br w:type="page"/>
      </w:r>
    </w:p>
    <w:p>
      <w:pPr>
        <w:pStyle w:val="Normal"/>
        <w:jc w:val="center"/>
        <w:rPr>
          <w:sz w:val="24"/>
          <w:szCs w:val="24"/>
        </w:rPr>
      </w:pPr>
      <w:r>
        <w:rPr>
          <w:rFonts w:cs="Times New Roman"/>
          <w:b/>
          <w:bCs/>
          <w:sz w:val="24"/>
          <w:szCs w:val="24"/>
        </w:rPr>
        <w:t>ÍNDICE</w:t>
      </w:r>
    </w:p>
    <w:p>
      <w:pPr>
        <w:pStyle w:val="Normal"/>
        <w:spacing w:lineRule="auto" w:line="288" w:before="0" w:after="0"/>
        <w:jc w:val="both"/>
        <w:rPr>
          <w:rFonts w:cs="Times New Roman"/>
          <w:b/>
          <w:b/>
          <w:bCs/>
        </w:rPr>
      </w:pPr>
      <w:r>
        <w:rPr>
          <w:rFonts w:cs="Times New Roman"/>
          <w:b/>
          <w:bCs/>
        </w:rPr>
      </w:r>
    </w:p>
    <w:p>
      <w:pPr>
        <w:pStyle w:val="Normal"/>
        <w:spacing w:lineRule="auto" w:line="288" w:before="0" w:after="0"/>
        <w:jc w:val="both"/>
        <w:rPr>
          <w:rFonts w:cs="Times New Roman"/>
          <w:b/>
          <w:b/>
          <w:bCs/>
        </w:rPr>
      </w:pPr>
      <w:r>
        <w:rPr>
          <w:rFonts w:cs="Times New Roman"/>
          <w:b/>
          <w:bCs/>
        </w:rPr>
      </w:r>
    </w:p>
    <w:p>
      <w:pPr>
        <w:pStyle w:val="Normal"/>
        <w:widowControl w:val="false"/>
        <w:numPr>
          <w:ilvl w:val="0"/>
          <w:numId w:val="22"/>
        </w:numPr>
        <w:spacing w:before="120" w:after="120"/>
        <w:ind w:left="0" w:hanging="0"/>
        <w:jc w:val="both"/>
        <w:rPr>
          <w:color w:val="000000"/>
        </w:rPr>
      </w:pPr>
      <w:r>
        <w:rPr>
          <w:rFonts w:cs="Times New Roman"/>
          <w:b/>
          <w:color w:val="000000"/>
          <w:sz w:val="24"/>
          <w:szCs w:val="24"/>
        </w:rPr>
        <w:t>DA CONVOCAÇÃO.</w:t>
      </w:r>
    </w:p>
    <w:p>
      <w:pPr>
        <w:pStyle w:val="Normal"/>
        <w:widowControl w:val="false"/>
        <w:numPr>
          <w:ilvl w:val="0"/>
          <w:numId w:val="23"/>
        </w:numPr>
        <w:spacing w:before="120" w:after="120"/>
        <w:ind w:left="0" w:hanging="0"/>
        <w:jc w:val="both"/>
        <w:rPr>
          <w:color w:val="000000"/>
        </w:rPr>
      </w:pPr>
      <w:r>
        <w:rPr>
          <w:rFonts w:cs="Times New Roman"/>
          <w:b/>
          <w:color w:val="000000"/>
          <w:sz w:val="24"/>
          <w:szCs w:val="24"/>
        </w:rPr>
        <w:t>DO OBJETO</w:t>
      </w:r>
    </w:p>
    <w:p>
      <w:pPr>
        <w:pStyle w:val="Normal"/>
        <w:widowControl w:val="false"/>
        <w:numPr>
          <w:ilvl w:val="0"/>
          <w:numId w:val="24"/>
        </w:numPr>
        <w:spacing w:before="120" w:after="120"/>
        <w:ind w:left="0" w:hanging="0"/>
        <w:jc w:val="both"/>
        <w:rPr>
          <w:color w:val="000000"/>
        </w:rPr>
      </w:pPr>
      <w:r>
        <w:rPr>
          <w:rFonts w:cs="Times New Roman"/>
          <w:b/>
          <w:bCs/>
          <w:color w:val="000000"/>
          <w:sz w:val="24"/>
          <w:szCs w:val="24"/>
        </w:rPr>
        <w:t>DA PARTICIPAÇÃO NO CREDENCIAMENTO</w:t>
      </w:r>
    </w:p>
    <w:p>
      <w:pPr>
        <w:pStyle w:val="Normal"/>
        <w:widowControl w:val="false"/>
        <w:numPr>
          <w:ilvl w:val="0"/>
          <w:numId w:val="25"/>
        </w:numPr>
        <w:spacing w:before="120" w:after="120"/>
        <w:ind w:left="0" w:hanging="0"/>
        <w:jc w:val="both"/>
        <w:rPr>
          <w:color w:val="000000"/>
        </w:rPr>
      </w:pPr>
      <w:r>
        <w:rPr>
          <w:rFonts w:cs="Times New Roman"/>
          <w:b/>
          <w:color w:val="000000"/>
          <w:sz w:val="24"/>
          <w:szCs w:val="24"/>
        </w:rPr>
        <w:t xml:space="preserve">DA HABILITAÇÃO E </w:t>
      </w:r>
      <w:r>
        <w:rPr>
          <w:rFonts w:eastAsia="" w:cs="Times New Roman" w:eastAsiaTheme="minorEastAsia"/>
          <w:b/>
          <w:color w:val="000000"/>
          <w:kern w:val="0"/>
          <w:sz w:val="24"/>
          <w:szCs w:val="24"/>
          <w:lang w:val="pt-BR" w:eastAsia="pt-BR" w:bidi="ar-SA"/>
        </w:rPr>
        <w:t>DAS CONDIÇÕES DE PARTICIPAÇÃO</w:t>
      </w:r>
    </w:p>
    <w:p>
      <w:pPr>
        <w:pStyle w:val="Normal"/>
        <w:widowControl w:val="false"/>
        <w:numPr>
          <w:ilvl w:val="0"/>
          <w:numId w:val="26"/>
        </w:numPr>
        <w:spacing w:before="120" w:after="120"/>
        <w:ind w:left="0" w:hanging="0"/>
        <w:jc w:val="both"/>
        <w:rPr>
          <w:color w:val="000000"/>
        </w:rPr>
      </w:pPr>
      <w:r>
        <w:rPr>
          <w:rFonts w:cs="Times New Roman"/>
          <w:b/>
          <w:color w:val="000000"/>
          <w:sz w:val="24"/>
          <w:szCs w:val="24"/>
        </w:rPr>
        <w:t>DOS RECURSOS FINANCEIROS</w:t>
      </w:r>
    </w:p>
    <w:p>
      <w:pPr>
        <w:pStyle w:val="Normal"/>
        <w:widowControl w:val="false"/>
        <w:numPr>
          <w:ilvl w:val="0"/>
          <w:numId w:val="27"/>
        </w:numPr>
        <w:spacing w:before="120" w:after="120"/>
        <w:ind w:left="0" w:hanging="0"/>
        <w:jc w:val="both"/>
        <w:rPr>
          <w:color w:val="000000"/>
        </w:rPr>
      </w:pPr>
      <w:r>
        <w:rPr>
          <w:rFonts w:cs="Times New Roman"/>
          <w:b/>
          <w:bCs/>
          <w:color w:val="000000"/>
          <w:sz w:val="24"/>
          <w:szCs w:val="24"/>
        </w:rPr>
        <w:t xml:space="preserve">DO CONTRATO E </w:t>
      </w:r>
      <w:r>
        <w:rPr>
          <w:rFonts w:cs="Times New Roman"/>
          <w:b/>
          <w:color w:val="000000"/>
          <w:sz w:val="24"/>
          <w:szCs w:val="24"/>
        </w:rPr>
        <w:t xml:space="preserve">SUAS </w:t>
      </w:r>
      <w:r>
        <w:rPr>
          <w:rFonts w:cs="Times New Roman"/>
          <w:b/>
          <w:bCs/>
          <w:color w:val="000000"/>
          <w:sz w:val="24"/>
          <w:szCs w:val="24"/>
        </w:rPr>
        <w:t>ALTERAÇÕES</w:t>
      </w:r>
    </w:p>
    <w:p>
      <w:pPr>
        <w:pStyle w:val="Normal"/>
        <w:widowControl w:val="false"/>
        <w:numPr>
          <w:ilvl w:val="0"/>
          <w:numId w:val="28"/>
        </w:numPr>
        <w:spacing w:before="120" w:after="120"/>
        <w:ind w:left="0" w:hanging="0"/>
        <w:jc w:val="both"/>
        <w:rPr>
          <w:color w:val="000000"/>
        </w:rPr>
      </w:pPr>
      <w:r>
        <w:rPr>
          <w:rFonts w:cs="Times New Roman"/>
          <w:b/>
          <w:color w:val="000000"/>
          <w:sz w:val="24"/>
          <w:szCs w:val="24"/>
        </w:rPr>
        <w:t>DO REGIME DE EXECUÇÃO</w:t>
      </w:r>
    </w:p>
    <w:p>
      <w:pPr>
        <w:pStyle w:val="Normal"/>
        <w:widowControl w:val="false"/>
        <w:numPr>
          <w:ilvl w:val="0"/>
          <w:numId w:val="29"/>
        </w:numPr>
        <w:spacing w:before="120" w:after="120"/>
        <w:ind w:left="0" w:hanging="0"/>
        <w:jc w:val="both"/>
        <w:rPr>
          <w:color w:val="000000"/>
        </w:rPr>
      </w:pPr>
      <w:r>
        <w:rPr>
          <w:rFonts w:cs="Times New Roman"/>
          <w:b/>
          <w:color w:val="000000"/>
          <w:sz w:val="24"/>
          <w:szCs w:val="24"/>
        </w:rPr>
        <w:t>DA PRESTAÇÃO DOS SERVIÇOS</w:t>
      </w:r>
    </w:p>
    <w:p>
      <w:pPr>
        <w:pStyle w:val="Normal"/>
        <w:widowControl w:val="false"/>
        <w:numPr>
          <w:ilvl w:val="0"/>
          <w:numId w:val="30"/>
        </w:numPr>
        <w:spacing w:before="120" w:after="120"/>
        <w:ind w:left="0" w:hanging="0"/>
        <w:jc w:val="both"/>
        <w:rPr>
          <w:color w:val="000000"/>
        </w:rPr>
      </w:pPr>
      <w:r>
        <w:rPr>
          <w:rFonts w:cs="Times New Roman"/>
          <w:b/>
          <w:color w:val="000000"/>
          <w:sz w:val="24"/>
          <w:szCs w:val="24"/>
        </w:rPr>
        <w:t>DA FISCALIZAÇÃO</w:t>
      </w:r>
    </w:p>
    <w:p>
      <w:pPr>
        <w:pStyle w:val="Normal"/>
        <w:widowControl w:val="false"/>
        <w:numPr>
          <w:ilvl w:val="0"/>
          <w:numId w:val="31"/>
        </w:numPr>
        <w:spacing w:before="120" w:after="120"/>
        <w:ind w:left="0" w:hanging="0"/>
        <w:jc w:val="both"/>
        <w:rPr>
          <w:color w:val="000000"/>
        </w:rPr>
      </w:pPr>
      <w:r>
        <w:rPr>
          <w:rFonts w:cs="Times New Roman"/>
          <w:b/>
          <w:bCs/>
          <w:color w:val="000000"/>
          <w:sz w:val="24"/>
          <w:szCs w:val="24"/>
        </w:rPr>
        <w:t>DO PREÇO E CONDIÇÕES DE PAGAMENTO</w:t>
      </w:r>
    </w:p>
    <w:p>
      <w:pPr>
        <w:pStyle w:val="Normal"/>
        <w:widowControl w:val="false"/>
        <w:numPr>
          <w:ilvl w:val="0"/>
          <w:numId w:val="32"/>
        </w:numPr>
        <w:spacing w:before="120" w:after="120"/>
        <w:ind w:left="0" w:hanging="0"/>
        <w:jc w:val="both"/>
        <w:rPr>
          <w:color w:val="000000"/>
        </w:rPr>
      </w:pPr>
      <w:r>
        <w:rPr>
          <w:rFonts w:eastAsia="" w:cs="Times New Roman" w:eastAsiaTheme="minorEastAsia"/>
          <w:b/>
          <w:color w:val="000000"/>
          <w:kern w:val="0"/>
          <w:sz w:val="24"/>
          <w:szCs w:val="24"/>
          <w:lang w:val="pt-BR" w:eastAsia="pt-BR" w:bidi="ar-SA"/>
        </w:rPr>
        <w:t>DA ATUALIZAÇÃO DOS PREÇOS</w:t>
      </w:r>
    </w:p>
    <w:p>
      <w:pPr>
        <w:pStyle w:val="Normal"/>
        <w:widowControl w:val="false"/>
        <w:numPr>
          <w:ilvl w:val="0"/>
          <w:numId w:val="33"/>
        </w:numPr>
        <w:spacing w:before="120" w:after="120"/>
        <w:ind w:left="0" w:hanging="0"/>
        <w:jc w:val="both"/>
        <w:rPr>
          <w:color w:val="000000"/>
        </w:rPr>
      </w:pPr>
      <w:r>
        <w:rPr>
          <w:rFonts w:cs="Times New Roman"/>
          <w:b/>
          <w:color w:val="000000"/>
          <w:sz w:val="24"/>
          <w:szCs w:val="24"/>
        </w:rPr>
        <w:t>DAS OBRIGAÇÕES DO CREDENCIANTE</w:t>
      </w:r>
    </w:p>
    <w:p>
      <w:pPr>
        <w:pStyle w:val="Normal"/>
        <w:widowControl w:val="false"/>
        <w:numPr>
          <w:ilvl w:val="0"/>
          <w:numId w:val="34"/>
        </w:numPr>
        <w:spacing w:before="120" w:after="120"/>
        <w:ind w:left="0" w:hanging="0"/>
        <w:jc w:val="both"/>
        <w:rPr>
          <w:color w:val="000000"/>
        </w:rPr>
      </w:pPr>
      <w:r>
        <w:rPr>
          <w:rFonts w:cs="Times New Roman"/>
          <w:b/>
          <w:bCs/>
          <w:color w:val="000000"/>
          <w:sz w:val="24"/>
          <w:szCs w:val="24"/>
        </w:rPr>
        <w:t>DAS OBRIGAÇÕES DA CREDENCIADA</w:t>
      </w:r>
    </w:p>
    <w:p>
      <w:pPr>
        <w:pStyle w:val="Normal"/>
        <w:widowControl w:val="false"/>
        <w:numPr>
          <w:ilvl w:val="0"/>
          <w:numId w:val="35"/>
        </w:numPr>
        <w:spacing w:before="120" w:after="120"/>
        <w:ind w:left="0" w:hanging="0"/>
        <w:jc w:val="both"/>
        <w:rPr>
          <w:color w:val="000000"/>
        </w:rPr>
      </w:pPr>
      <w:r>
        <w:rPr>
          <w:rFonts w:cs="Times New Roman"/>
          <w:b/>
          <w:color w:val="000000"/>
          <w:sz w:val="24"/>
          <w:szCs w:val="24"/>
        </w:rPr>
        <w:t>DAS SANÇÕES</w:t>
      </w:r>
    </w:p>
    <w:p>
      <w:pPr>
        <w:pStyle w:val="Normal"/>
        <w:widowControl w:val="false"/>
        <w:numPr>
          <w:ilvl w:val="0"/>
          <w:numId w:val="36"/>
        </w:numPr>
        <w:spacing w:before="120" w:after="120"/>
        <w:ind w:left="0" w:hanging="0"/>
        <w:jc w:val="both"/>
        <w:rPr>
          <w:color w:val="000000"/>
        </w:rPr>
      </w:pPr>
      <w:r>
        <w:rPr>
          <w:rFonts w:cs="Times New Roman"/>
          <w:b/>
          <w:color w:val="000000"/>
          <w:sz w:val="24"/>
          <w:szCs w:val="24"/>
        </w:rPr>
        <w:t>DA RESCISÃO</w:t>
      </w:r>
    </w:p>
    <w:p>
      <w:pPr>
        <w:pStyle w:val="Normal"/>
        <w:widowControl w:val="false"/>
        <w:numPr>
          <w:ilvl w:val="0"/>
          <w:numId w:val="37"/>
        </w:numPr>
        <w:spacing w:before="120" w:after="120"/>
        <w:ind w:left="0" w:hanging="0"/>
        <w:jc w:val="both"/>
        <w:rPr>
          <w:color w:val="000000"/>
        </w:rPr>
      </w:pPr>
      <w:r>
        <w:rPr>
          <w:rFonts w:cs="Times New Roman"/>
          <w:b/>
          <w:color w:val="000000"/>
          <w:sz w:val="24"/>
          <w:szCs w:val="24"/>
        </w:rPr>
        <w:t>DOS RECURSOS</w:t>
      </w:r>
    </w:p>
    <w:p>
      <w:pPr>
        <w:pStyle w:val="Normal"/>
        <w:widowControl w:val="false"/>
        <w:numPr>
          <w:ilvl w:val="0"/>
          <w:numId w:val="38"/>
        </w:numPr>
        <w:spacing w:before="120" w:after="120"/>
        <w:ind w:left="0" w:hanging="0"/>
        <w:jc w:val="both"/>
        <w:rPr>
          <w:color w:val="000000"/>
        </w:rPr>
      </w:pPr>
      <w:r>
        <w:rPr>
          <w:rFonts w:cs="Times New Roman"/>
          <w:b/>
          <w:color w:val="000000"/>
          <w:sz w:val="24"/>
          <w:szCs w:val="24"/>
        </w:rPr>
        <w:t>DA IMPUGNAÇÃO DO EDITAL E PEDIDOS DE INFORMAÇÕES</w:t>
      </w:r>
    </w:p>
    <w:p>
      <w:pPr>
        <w:pStyle w:val="Normal"/>
        <w:widowControl w:val="false"/>
        <w:numPr>
          <w:ilvl w:val="0"/>
          <w:numId w:val="39"/>
        </w:numPr>
        <w:spacing w:before="120" w:after="120"/>
        <w:ind w:left="0" w:hanging="0"/>
        <w:jc w:val="both"/>
        <w:rPr>
          <w:color w:val="000000"/>
        </w:rPr>
      </w:pPr>
      <w:r>
        <w:rPr>
          <w:rFonts w:cs="Times New Roman"/>
          <w:b/>
          <w:color w:val="000000"/>
          <w:sz w:val="24"/>
          <w:szCs w:val="24"/>
        </w:rPr>
        <w:t>DA REVOGAÇÃO</w:t>
      </w:r>
    </w:p>
    <w:p>
      <w:pPr>
        <w:pStyle w:val="Normal"/>
        <w:widowControl w:val="false"/>
        <w:numPr>
          <w:ilvl w:val="0"/>
          <w:numId w:val="40"/>
        </w:numPr>
        <w:spacing w:before="120" w:after="120"/>
        <w:ind w:left="0" w:hanging="0"/>
        <w:jc w:val="both"/>
        <w:rPr>
          <w:color w:val="000000"/>
        </w:rPr>
      </w:pPr>
      <w:r>
        <w:rPr>
          <w:rFonts w:cs="Times New Roman"/>
          <w:b/>
          <w:color w:val="000000"/>
          <w:sz w:val="24"/>
          <w:szCs w:val="24"/>
        </w:rPr>
        <w:t>DAS DISPOSIÇÕES GERAIS</w:t>
      </w:r>
    </w:p>
    <w:p>
      <w:pPr>
        <w:sectPr>
          <w:headerReference w:type="default" r:id="rId2"/>
          <w:footerReference w:type="default" r:id="rId3"/>
          <w:type w:val="nextPage"/>
          <w:pgSz w:w="11906" w:h="16838"/>
          <w:pgMar w:left="1417" w:right="1134" w:header="624" w:top="1321" w:footer="624" w:bottom="1321" w:gutter="0"/>
          <w:pgNumType w:fmt="decimal"/>
          <w:formProt w:val="false"/>
          <w:textDirection w:val="lrTb"/>
          <w:docGrid w:type="default" w:linePitch="360" w:charSpace="8192"/>
        </w:sectPr>
        <w:pStyle w:val="Normal"/>
        <w:widowControl w:val="false"/>
        <w:numPr>
          <w:ilvl w:val="0"/>
          <w:numId w:val="41"/>
        </w:numPr>
        <w:spacing w:before="120" w:after="120"/>
        <w:ind w:left="0" w:hanging="0"/>
        <w:jc w:val="both"/>
        <w:rPr>
          <w:color w:val="000000"/>
        </w:rPr>
      </w:pPr>
      <w:r>
        <w:rPr>
          <w:rFonts w:cs="Times New Roman"/>
          <w:b/>
          <w:color w:val="000000"/>
          <w:sz w:val="24"/>
          <w:szCs w:val="24"/>
        </w:rPr>
        <w:t>DO FORO</w:t>
      </w:r>
    </w:p>
    <w:p>
      <w:pPr>
        <w:pStyle w:val="Normal"/>
        <w:widowControl w:val="false"/>
        <w:spacing w:before="120" w:after="120"/>
        <w:jc w:val="center"/>
        <w:rPr>
          <w:sz w:val="24"/>
          <w:szCs w:val="24"/>
        </w:rPr>
      </w:pPr>
      <w:r>
        <w:rPr>
          <w:rFonts w:cs="Times New Roman"/>
          <w:sz w:val="24"/>
          <w:szCs w:val="24"/>
        </w:rPr>
        <w:t xml:space="preserve"> </w:t>
      </w:r>
      <w:r>
        <w:rPr>
          <w:rFonts w:eastAsia="" w:cs="Times New Roman" w:eastAsiaTheme="minorEastAsia"/>
          <w:color w:val="auto"/>
          <w:kern w:val="0"/>
          <w:sz w:val="24"/>
          <w:szCs w:val="24"/>
          <w:lang w:val="pt-BR" w:eastAsia="pt-BR" w:bidi="ar-SA"/>
        </w:rPr>
        <w:t>MARINHA DO BRASIL</w:t>
      </w:r>
    </w:p>
    <w:p>
      <w:pPr>
        <w:pStyle w:val="Normal"/>
        <w:widowControl w:val="false"/>
        <w:spacing w:before="120" w:after="120"/>
        <w:jc w:val="center"/>
        <w:rPr>
          <w:sz w:val="24"/>
          <w:szCs w:val="24"/>
        </w:rPr>
      </w:pPr>
      <w:r>
        <w:rPr>
          <w:rFonts w:eastAsia="" w:cs="Times New Roman" w:eastAsiaTheme="minorEastAsia"/>
          <w:color w:val="000000"/>
          <w:kern w:val="0"/>
          <w:sz w:val="24"/>
          <w:szCs w:val="24"/>
          <w:shd w:fill="auto" w:val="clear"/>
          <w:lang w:val="pt-BR" w:eastAsia="pt-BR" w:bidi="ar-SA"/>
        </w:rPr>
        <w:t>COMANDO DO 4º DISTRITO NAVAL</w:t>
      </w:r>
    </w:p>
    <w:p>
      <w:pPr>
        <w:pStyle w:val="Normal"/>
        <w:widowControl w:val="false"/>
        <w:spacing w:before="120" w:after="120"/>
        <w:jc w:val="center"/>
        <w:rPr>
          <w:rFonts w:ascii="Calibri" w:hAnsi="Calibri" w:cs="Times New Roman"/>
          <w:sz w:val="24"/>
          <w:szCs w:val="24"/>
          <w:highlight w:val="lightGray"/>
        </w:rPr>
      </w:pPr>
      <w:r>
        <w:rPr>
          <w:rFonts w:cs="Times New Roman"/>
          <w:sz w:val="24"/>
          <w:szCs w:val="24"/>
          <w:highlight w:val="lightGray"/>
        </w:rPr>
      </w:r>
    </w:p>
    <w:p>
      <w:pPr>
        <w:pStyle w:val="Normal"/>
        <w:widowControl w:val="false"/>
        <w:spacing w:before="120" w:after="120"/>
        <w:jc w:val="center"/>
        <w:rPr>
          <w:rFonts w:ascii="Calibri" w:hAnsi="Calibri" w:eastAsia="" w:cs="" w:asciiTheme="minorHAnsi" w:cstheme="minorBidi" w:eastAsiaTheme="minorEastAsia" w:hAnsiTheme="minorHAnsi"/>
          <w:b/>
          <w:b/>
          <w:bCs/>
        </w:rPr>
      </w:pPr>
      <w:r>
        <w:rPr>
          <w:rFonts w:eastAsia="" w:cs="Times New Roman" w:eastAsiaTheme="minorEastAsia"/>
          <w:b/>
          <w:bCs/>
          <w:sz w:val="24"/>
          <w:szCs w:val="24"/>
          <w:shd w:fill="auto" w:val="clear"/>
        </w:rPr>
        <w:t xml:space="preserve">EDITAL DE CREDENCIAMENTO N° </w:t>
      </w:r>
      <w:r>
        <w:rPr>
          <w:rFonts w:eastAsia="" w:cs="Times New Roman" w:eastAsiaTheme="minorEastAsia"/>
          <w:b/>
          <w:bCs/>
          <w:sz w:val="24"/>
          <w:szCs w:val="24"/>
          <w:shd w:fill="auto" w:val="clear"/>
        </w:rPr>
        <w:t>001</w:t>
      </w:r>
      <w:r>
        <w:rPr>
          <w:rFonts w:eastAsia="" w:cs="Times New Roman" w:eastAsiaTheme="minorEastAsia"/>
          <w:b/>
          <w:bCs/>
          <w:sz w:val="24"/>
          <w:szCs w:val="24"/>
          <w:shd w:fill="auto" w:val="clear"/>
        </w:rPr>
        <w:t>/2024</w:t>
      </w:r>
    </w:p>
    <w:p>
      <w:pPr>
        <w:pStyle w:val="Normal"/>
        <w:widowControl w:val="false"/>
        <w:spacing w:before="240" w:after="240"/>
        <w:jc w:val="center"/>
        <w:rPr>
          <w:sz w:val="24"/>
          <w:szCs w:val="24"/>
        </w:rPr>
      </w:pPr>
      <w:r>
        <w:rPr>
          <w:sz w:val="24"/>
          <w:szCs w:val="24"/>
        </w:rPr>
      </w:r>
    </w:p>
    <w:p>
      <w:pPr>
        <w:pStyle w:val="Normal"/>
        <w:widowControl w:val="false"/>
        <w:spacing w:before="240" w:after="240"/>
        <w:jc w:val="both"/>
        <w:rPr>
          <w:sz w:val="24"/>
          <w:szCs w:val="24"/>
        </w:rPr>
      </w:pPr>
      <w:r>
        <w:rPr>
          <w:rFonts w:cs="Times New Roman"/>
          <w:sz w:val="24"/>
          <w:szCs w:val="24"/>
        </w:rPr>
        <w:t xml:space="preserve">CONVOCAÇÃO DE ORGANIZAÇÕES CIVIS DE SAÚDE (OCS), LOCALIZADAS NOS ESTADOS </w:t>
      </w:r>
      <w:r>
        <w:rPr>
          <w:rFonts w:eastAsia="" w:cs="Times New Roman" w:eastAsiaTheme="minorEastAsia"/>
          <w:color w:val="auto"/>
          <w:kern w:val="0"/>
          <w:sz w:val="24"/>
          <w:szCs w:val="24"/>
          <w:lang w:val="pt-BR" w:eastAsia="pt-BR" w:bidi="ar-SA"/>
        </w:rPr>
        <w:t>DO AMAPÁ, MARANHÃO, PARÁ E PIAUÍ</w:t>
      </w:r>
      <w:r>
        <w:rPr>
          <w:rFonts w:cs="Times New Roman"/>
          <w:sz w:val="24"/>
          <w:szCs w:val="24"/>
        </w:rPr>
        <w:t>, INTERESSADAS NA PRESTAÇÃO DE SERVIÇOS DE ATENÇÃO ESPECIALIZADA EM HABILITAÇÃO/REABILITAÇÃO FÍSICA, INTELECTUAL, AUDITIVA, VISUAL, TRANSTORNO DO ESPECTRO AUTISTA (TEA) E MÚLTIPLAS DEFICIÊNCIAS À PESSOA COM DEFICIÊNCIA, COM VISTAS A COMPLEMENTAR OS SERVIÇOS ESPECIALIZADOS DAS ORGANIZAÇÕES MILITARES DE SAÚDE (OMS).</w:t>
      </w:r>
    </w:p>
    <w:p>
      <w:pPr>
        <w:pStyle w:val="Normal"/>
        <w:widowControl w:val="false"/>
        <w:spacing w:before="240" w:after="240"/>
        <w:jc w:val="both"/>
        <w:rPr>
          <w:sz w:val="24"/>
          <w:szCs w:val="24"/>
        </w:rPr>
      </w:pPr>
      <w:r>
        <w:rPr>
          <w:sz w:val="24"/>
          <w:szCs w:val="24"/>
        </w:rPr>
      </w:r>
    </w:p>
    <w:p>
      <w:pPr>
        <w:pStyle w:val="Normal"/>
        <w:widowControl w:val="false"/>
        <w:numPr>
          <w:ilvl w:val="0"/>
          <w:numId w:val="0"/>
        </w:numPr>
        <w:spacing w:lineRule="auto" w:line="276" w:before="120" w:after="120"/>
        <w:ind w:left="0" w:hanging="0"/>
        <w:jc w:val="both"/>
        <w:rPr>
          <w:sz w:val="24"/>
          <w:szCs w:val="24"/>
        </w:rPr>
      </w:pPr>
      <w:r>
        <w:rPr>
          <w:rFonts w:cs="Times New Roman"/>
          <w:b/>
          <w:bCs/>
          <w:sz w:val="24"/>
          <w:szCs w:val="24"/>
          <w:u w:val="none"/>
        </w:rPr>
        <w:t xml:space="preserve">1   </w:t>
      </w:r>
      <w:r>
        <w:rPr>
          <w:rFonts w:cs="Times New Roman"/>
          <w:b/>
          <w:sz w:val="24"/>
          <w:szCs w:val="24"/>
          <w:u w:val="single"/>
        </w:rPr>
        <w:t>DA CONVOCAÇÃO.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1.1  A União, representada pelo Comando do 4° Distrito Naval, do Marinha do Brasil,</w:t>
      </w:r>
      <w:r>
        <w:rPr>
          <w:rStyle w:val="Fontepargpadro4"/>
          <w:rFonts w:cs="Calibri"/>
          <w:color w:val="000000"/>
          <w:sz w:val="24"/>
          <w:szCs w:val="24"/>
        </w:rPr>
        <w:t xml:space="preserve"> inscrito no CNPJ 00.394.502/004</w:t>
      </w:r>
      <w:r>
        <w:rPr>
          <w:rStyle w:val="Fontepargpadro4"/>
          <w:rFonts w:cs="Calibri"/>
          <w:color w:val="000000"/>
          <w:sz w:val="24"/>
          <w:szCs w:val="24"/>
        </w:rPr>
        <w:t>1</w:t>
      </w:r>
      <w:r>
        <w:rPr>
          <w:rStyle w:val="Fontepargpadro4"/>
          <w:rFonts w:cs="Calibri"/>
          <w:color w:val="000000"/>
          <w:sz w:val="24"/>
          <w:szCs w:val="24"/>
        </w:rPr>
        <w:t>-31, sediado na Praça Carneiro da Rocha, s/n°, Cidade Velha, CEP 66020-150, Belém-PA,</w:t>
      </w:r>
      <w:r>
        <w:rPr>
          <w:rFonts w:cs="Times New Roman"/>
          <w:sz w:val="24"/>
          <w:szCs w:val="24"/>
        </w:rPr>
        <w:t xml:space="preserve"> mediante a </w:t>
      </w:r>
      <w:r>
        <w:rPr>
          <w:rFonts w:cs="Times New Roman"/>
          <w:color w:val="000000"/>
          <w:sz w:val="24"/>
          <w:szCs w:val="24"/>
        </w:rPr>
        <w:t xml:space="preserve">Comissão de </w:t>
      </w:r>
      <w:r>
        <w:rPr>
          <w:rFonts w:cs="Times New Roman"/>
          <w:color w:val="000000"/>
          <w:sz w:val="24"/>
          <w:szCs w:val="24"/>
          <w:shd w:fill="auto" w:val="clear"/>
        </w:rPr>
        <w:t>Especial de Credenciamento,</w:t>
      </w:r>
      <w:r>
        <w:rPr>
          <w:rFonts w:cs="Times New Roman"/>
          <w:color w:val="000000"/>
          <w:sz w:val="24"/>
          <w:szCs w:val="24"/>
        </w:rPr>
        <w:t xml:space="preserve"> designada pela Portaria N° 147/Com4°DN, de 04 de maio de 2023, torna público para conhecimento dos </w:t>
      </w:r>
      <w:r>
        <w:rPr>
          <w:rFonts w:cs="Times New Roman"/>
          <w:b/>
          <w:bCs/>
          <w:color w:val="000000"/>
          <w:sz w:val="24"/>
          <w:szCs w:val="24"/>
        </w:rPr>
        <w:t>interessados</w:t>
      </w:r>
      <w:r>
        <w:rPr>
          <w:rFonts w:cs="Times New Roman"/>
          <w:color w:val="000000"/>
          <w:sz w:val="24"/>
          <w:szCs w:val="24"/>
        </w:rPr>
        <w:t xml:space="preserve"> que, na data, horário e local indicados, fará realizar a seleção e o credenciamento de Organizações Civis de Saú</w:t>
      </w:r>
      <w:r>
        <w:rPr>
          <w:rFonts w:cs="Times New Roman"/>
          <w:sz w:val="24"/>
          <w:szCs w:val="24"/>
        </w:rPr>
        <w:t xml:space="preserve">de (OCS) localizadas nos Estados </w:t>
      </w:r>
      <w:r>
        <w:rPr>
          <w:rFonts w:eastAsia="" w:cs="Times New Roman" w:eastAsiaTheme="minorEastAsia"/>
          <w:color w:val="auto"/>
          <w:kern w:val="0"/>
          <w:sz w:val="24"/>
          <w:szCs w:val="24"/>
          <w:lang w:val="pt-BR" w:eastAsia="pt-BR" w:bidi="ar-SA"/>
        </w:rPr>
        <w:t>do Amapá, Maranhão, Pará e Piauí</w:t>
      </w:r>
      <w:r>
        <w:rPr>
          <w:rFonts w:cs="Times New Roman"/>
          <w:sz w:val="24"/>
          <w:szCs w:val="24"/>
        </w:rPr>
        <w:t xml:space="preserve">, interessadas na prestação de serviços de Atenção Especializada em habilitação/ reabilitação Física, Intelectual, Auditiva, Visual, Transtorno do Espectro Autista (TEA) e Múltiplas Deficiências à pessoa com deficiência, usuária do Programa de Atendimento Especial - Pessoa com Deficiência (PAE), com vistas a COMPLEMENTAR os serviços especializados das Organizações Militares de Saúde (OMS), conforme as condições estabelecidas neste Edital e nos seus Anexos.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1.2  O procedimento de credenciamento observará integralmente as disposições da seguinte legislação infraconstitucional:  </w:t>
      </w:r>
    </w:p>
    <w:p>
      <w:pPr>
        <w:pStyle w:val="Normal"/>
        <w:widowControl w:val="false"/>
        <w:numPr>
          <w:ilvl w:val="0"/>
          <w:numId w:val="0"/>
        </w:numPr>
        <w:spacing w:lineRule="auto" w:line="276" w:before="120" w:after="120"/>
        <w:ind w:left="0" w:hanging="0"/>
        <w:jc w:val="both"/>
        <w:rPr>
          <w:color w:val="000000"/>
        </w:rPr>
      </w:pPr>
      <w:r>
        <w:rPr>
          <w:rFonts w:cs="Times New Roman"/>
          <w:color w:val="000000"/>
          <w:sz w:val="24"/>
          <w:szCs w:val="24"/>
        </w:rPr>
        <w:tab/>
        <w:t>1.2.1 Lei nº 14.133, de 1º de abril de 2021 – Lei de Licitações e Contratos Administrativos;</w:t>
      </w:r>
    </w:p>
    <w:p>
      <w:pPr>
        <w:pStyle w:val="Normal"/>
        <w:widowControl w:val="false"/>
        <w:numPr>
          <w:ilvl w:val="0"/>
          <w:numId w:val="0"/>
        </w:numPr>
        <w:spacing w:lineRule="auto" w:line="276" w:before="120" w:after="120"/>
        <w:ind w:left="0" w:hanging="0"/>
        <w:jc w:val="both"/>
        <w:rPr>
          <w:color w:val="000000"/>
        </w:rPr>
      </w:pPr>
      <w:r>
        <w:rPr>
          <w:rFonts w:cs="Times New Roman"/>
          <w:color w:val="000000"/>
          <w:sz w:val="24"/>
          <w:szCs w:val="24"/>
        </w:rPr>
        <w:tab/>
        <w:t>1.2.2  Lei n° 8.078, de 11 de setembro de 1990 – Código de Defesa do Consumidor;</w:t>
      </w:r>
    </w:p>
    <w:p>
      <w:pPr>
        <w:pStyle w:val="Normal"/>
        <w:widowControl w:val="false"/>
        <w:numPr>
          <w:ilvl w:val="0"/>
          <w:numId w:val="0"/>
        </w:numPr>
        <w:spacing w:lineRule="auto" w:line="276" w:before="120" w:after="120"/>
        <w:ind w:left="0" w:hanging="0"/>
        <w:jc w:val="both"/>
        <w:rPr>
          <w:color w:val="000000"/>
        </w:rPr>
      </w:pPr>
      <w:r>
        <w:rPr>
          <w:rFonts w:cs="Times New Roman"/>
          <w:color w:val="000000"/>
          <w:sz w:val="24"/>
          <w:szCs w:val="24"/>
        </w:rPr>
        <w:tab/>
        <w:t xml:space="preserve">1.2.3  Lei n° 10.098, de 19 de dezembro de 2000 – Estabelece normas gerais e critérios básicos para a promoção da acessibilidade das pessoas </w:t>
      </w:r>
      <w:r>
        <w:rPr>
          <w:rFonts w:eastAsia="" w:cs="Times New Roman" w:eastAsiaTheme="minorEastAsia"/>
          <w:color w:val="000000"/>
          <w:kern w:val="0"/>
          <w:sz w:val="24"/>
          <w:szCs w:val="24"/>
          <w:lang w:val="pt-BR" w:eastAsia="pt-BR" w:bidi="ar-SA"/>
        </w:rPr>
        <w:t>com deficiência</w:t>
      </w:r>
      <w:r>
        <w:rPr>
          <w:rFonts w:cs="Times New Roman"/>
          <w:color w:val="000000"/>
          <w:sz w:val="24"/>
          <w:szCs w:val="24"/>
        </w:rPr>
        <w:t xml:space="preserve"> ou com mobilidade reduzida; </w:t>
      </w:r>
    </w:p>
    <w:p>
      <w:pPr>
        <w:pStyle w:val="Normal"/>
        <w:widowControl w:val="false"/>
        <w:numPr>
          <w:ilvl w:val="0"/>
          <w:numId w:val="0"/>
        </w:numPr>
        <w:spacing w:lineRule="auto" w:line="276" w:before="120" w:after="120"/>
        <w:ind w:left="0" w:hanging="0"/>
        <w:jc w:val="both"/>
        <w:rPr>
          <w:color w:val="000000"/>
        </w:rPr>
      </w:pPr>
      <w:r>
        <w:rPr>
          <w:rFonts w:cs="Times New Roman"/>
          <w:color w:val="000000"/>
          <w:sz w:val="24"/>
          <w:szCs w:val="24"/>
        </w:rPr>
        <w:tab/>
        <w:t>1.2.4  Decreto nº 3.298, de 20 de dezembro de 1999 – Dispõe sobre a Política Nacional para Integração da Pessoa com Deficiência;</w:t>
      </w:r>
    </w:p>
    <w:p>
      <w:pPr>
        <w:pStyle w:val="Normal"/>
        <w:widowControl w:val="false"/>
        <w:numPr>
          <w:ilvl w:val="0"/>
          <w:numId w:val="0"/>
        </w:numPr>
        <w:spacing w:lineRule="auto" w:line="276" w:before="120" w:after="120"/>
        <w:ind w:left="0" w:hanging="0"/>
        <w:jc w:val="both"/>
        <w:rPr>
          <w:color w:val="000000"/>
        </w:rPr>
      </w:pPr>
      <w:r>
        <w:rPr>
          <w:rFonts w:cs="Times New Roman"/>
          <w:color w:val="000000"/>
          <w:sz w:val="24"/>
          <w:szCs w:val="24"/>
        </w:rPr>
        <w:tab/>
        <w:t xml:space="preserve">1.2.5  Decreto n° 92.512, de 02 de abril de 1986 - </w:t>
      </w:r>
      <w:r>
        <w:rPr>
          <w:rFonts w:cs="Times New Roman"/>
          <w:b w:val="false"/>
          <w:bCs w:val="false"/>
          <w:color w:val="000000"/>
          <w:sz w:val="24"/>
          <w:szCs w:val="24"/>
          <w:lang w:val="pt-PT"/>
        </w:rPr>
        <w:t>Estabelece normas, condições de atendimento e indenizações para a assistência médico-hospitalar ao militar e seus dependentes, e dá outras providências.</w:t>
      </w:r>
      <w:r>
        <w:rPr>
          <w:rFonts w:cs="Times New Roman"/>
          <w:b w:val="false"/>
          <w:bCs w:val="false"/>
          <w:color w:val="000000"/>
          <w:sz w:val="24"/>
          <w:szCs w:val="24"/>
        </w:rPr>
        <w:t xml:space="preserve"> </w:t>
      </w:r>
    </w:p>
    <w:p>
      <w:pPr>
        <w:pStyle w:val="Normal"/>
        <w:widowControl w:val="false"/>
        <w:numPr>
          <w:ilvl w:val="0"/>
          <w:numId w:val="0"/>
        </w:numPr>
        <w:spacing w:lineRule="auto" w:line="276" w:before="120" w:after="120"/>
        <w:ind w:left="0" w:hanging="0"/>
        <w:jc w:val="both"/>
        <w:rPr>
          <w:sz w:val="24"/>
          <w:szCs w:val="24"/>
        </w:rPr>
      </w:pPr>
      <w:r>
        <w:rPr>
          <w:rFonts w:cs="Times New Roman"/>
          <w:color w:val="000000"/>
          <w:sz w:val="24"/>
          <w:szCs w:val="24"/>
        </w:rPr>
        <w:tab/>
        <w:t>1.2.6  Decreto nº 11.878, de 9 de janeiro de 2</w:t>
      </w:r>
      <w:r>
        <w:rPr>
          <w:rFonts w:cs="Times New Roman"/>
          <w:sz w:val="24"/>
          <w:szCs w:val="24"/>
        </w:rPr>
        <w:t>024 - Dispõe sobre o procedimento auxiliar de credenciamento para a contratação de bens e serviços, no âmbito da administração pública federal direta, autárquica e fundacional;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1.2.7  Instrução Normativa 05, de 21 de julho de 1995, do MARE;</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1.2.8  Instrução Normativa SLTI/MPOG nº 05, de 26 de maio de 2017, e suas alterações;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1.2.9  Instrução Normativa SEGES/ME nº 65, de 7 de julho de 2021 e suas alterações;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1.2.10  Instrução Normativa SEGES/MPDG nº 03, de 26 de abril de 2018; e</w:t>
      </w:r>
    </w:p>
    <w:p>
      <w:pPr>
        <w:pStyle w:val="Normal"/>
        <w:widowControl w:val="false"/>
        <w:numPr>
          <w:ilvl w:val="0"/>
          <w:numId w:val="0"/>
        </w:numPr>
        <w:spacing w:lineRule="auto" w:line="276" w:before="120" w:after="120"/>
        <w:ind w:left="0" w:hanging="0"/>
        <w:jc w:val="both"/>
        <w:rPr/>
      </w:pPr>
      <w:r>
        <w:rPr>
          <w:rStyle w:val="Fontepargpadro"/>
          <w:rFonts w:cs="Calibri"/>
          <w:sz w:val="24"/>
          <w:szCs w:val="24"/>
        </w:rPr>
        <w:tab/>
        <w:t xml:space="preserve">1.2.11  DGPM-501 - Norma sobre a Assistência Social da Marinha do Brasil. </w:t>
      </w:r>
      <w:r>
        <w:rPr>
          <w:sz w:val="24"/>
          <w:szCs w:val="24"/>
        </w:rPr>
        <w:t>(7</w:t>
      </w:r>
      <w:r>
        <w:rPr>
          <w:sz w:val="24"/>
          <w:szCs w:val="24"/>
          <w:vertAlign w:val="superscript"/>
        </w:rPr>
        <w:t>a</w:t>
      </w:r>
      <w:r>
        <w:rPr>
          <w:sz w:val="24"/>
          <w:szCs w:val="24"/>
        </w:rPr>
        <w:t xml:space="preserve"> Revisão).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1.3  Integram este Edital, independentemente de transcrição, os Anexos abaixo:</w:t>
      </w:r>
    </w:p>
    <w:tbl>
      <w:tblPr>
        <w:tblW w:w="8486" w:type="dxa"/>
        <w:jc w:val="left"/>
        <w:tblInd w:w="3" w:type="dxa"/>
        <w:tblCellMar>
          <w:top w:w="0" w:type="dxa"/>
          <w:left w:w="9" w:type="dxa"/>
          <w:bottom w:w="0" w:type="dxa"/>
          <w:right w:w="9" w:type="dxa"/>
        </w:tblCellMar>
        <w:tblLook w:val="0000" w:noHBand="0" w:noVBand="0" w:firstColumn="0" w:lastRow="0" w:lastColumn="0" w:firstRow="0"/>
      </w:tblPr>
      <w:tblGrid>
        <w:gridCol w:w="715"/>
        <w:gridCol w:w="7770"/>
      </w:tblGrid>
      <w:tr>
        <w:trPr>
          <w:trHeight w:val="712" w:hRule="exact"/>
        </w:trPr>
        <w:tc>
          <w:tcPr>
            <w:tcW w:w="7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76" w:before="0" w:after="0"/>
              <w:jc w:val="center"/>
              <w:rPr>
                <w:rFonts w:cs="Times New Roman"/>
                <w:sz w:val="24"/>
                <w:szCs w:val="24"/>
              </w:rPr>
            </w:pPr>
            <w:r>
              <w:rPr>
                <w:rFonts w:cs="Times New Roman"/>
                <w:sz w:val="24"/>
                <w:szCs w:val="24"/>
              </w:rPr>
              <w:t>Anexo "A"</w:t>
            </w:r>
          </w:p>
        </w:tc>
        <w:tc>
          <w:tcPr>
            <w:tcW w:w="77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76" w:before="120" w:after="120"/>
              <w:jc w:val="center"/>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Projeto Básico</w:t>
            </w:r>
          </w:p>
        </w:tc>
      </w:tr>
      <w:tr>
        <w:trPr>
          <w:trHeight w:val="3488" w:hRule="exact"/>
        </w:trPr>
        <w:tc>
          <w:tcPr>
            <w:tcW w:w="715" w:type="dxa"/>
            <w:tcBorders>
              <w:left w:val="single" w:sz="6" w:space="0" w:color="000000"/>
              <w:bottom w:val="single" w:sz="6" w:space="0" w:color="000000"/>
              <w:right w:val="single" w:sz="6" w:space="0" w:color="000000"/>
            </w:tcBorders>
            <w:vAlign w:val="center"/>
          </w:tcPr>
          <w:p>
            <w:pPr>
              <w:pStyle w:val="Normal"/>
              <w:widowControl w:val="false"/>
              <w:spacing w:lineRule="auto" w:line="276" w:before="0" w:after="0"/>
              <w:jc w:val="center"/>
              <w:rPr>
                <w:rFonts w:cs="Times New Roman"/>
                <w:sz w:val="24"/>
                <w:szCs w:val="24"/>
              </w:rPr>
            </w:pPr>
            <w:r>
              <w:rPr>
                <w:rFonts w:cs="Times New Roman"/>
                <w:sz w:val="24"/>
                <w:szCs w:val="24"/>
              </w:rPr>
            </w:r>
          </w:p>
        </w:tc>
        <w:tc>
          <w:tcPr>
            <w:tcW w:w="7770" w:type="dxa"/>
            <w:tcBorders>
              <w:left w:val="single" w:sz="6" w:space="0" w:color="000000"/>
              <w:bottom w:val="single" w:sz="6" w:space="0" w:color="000000"/>
              <w:right w:val="single" w:sz="6" w:space="0" w:color="000000"/>
            </w:tcBorders>
            <w:vAlign w:val="center"/>
          </w:tcPr>
          <w:p>
            <w:pPr>
              <w:pStyle w:val="Normal"/>
              <w:widowControl w:val="false"/>
              <w:spacing w:lineRule="auto" w:line="276" w:before="0" w:after="0"/>
              <w:jc w:val="left"/>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APÊNDICE I DO ANEXO A – Tabela de Preços;</w:t>
            </w:r>
          </w:p>
          <w:p>
            <w:pPr>
              <w:pStyle w:val="Normal"/>
              <w:widowControl w:val="false"/>
              <w:spacing w:lineRule="auto" w:line="276" w:before="0" w:after="0"/>
              <w:jc w:val="left"/>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 xml:space="preserve">APÊNDICE II DO ANEXO A – Folha de Avaliação do Programa de Atendimento Especial – Pessoa com Deficiência (PAE); </w:t>
            </w:r>
          </w:p>
          <w:p>
            <w:pPr>
              <w:pStyle w:val="Normal"/>
              <w:widowControl w:val="false"/>
              <w:spacing w:lineRule="auto" w:line="276" w:before="0" w:after="0"/>
              <w:jc w:val="left"/>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APÊNDICE III DO ANEXO A – Folha de Acompanhamento do PAE;</w:t>
            </w:r>
          </w:p>
          <w:p>
            <w:pPr>
              <w:pStyle w:val="Normal"/>
              <w:widowControl w:val="false"/>
              <w:spacing w:lineRule="auto" w:line="276" w:before="0" w:after="0"/>
              <w:jc w:val="left"/>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APÊNDICE IV DO ANEXO A – Guia de Apresentação do(a) Usuário(a);</w:t>
            </w:r>
          </w:p>
          <w:p>
            <w:pPr>
              <w:pStyle w:val="Normal"/>
              <w:widowControl w:val="false"/>
              <w:spacing w:lineRule="auto" w:line="276" w:before="0" w:after="0"/>
              <w:jc w:val="left"/>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APÊNDICE V DO ANEXO A – Diretrizes para adequações físicas e recursos materiais e humanos básicos em ambientes terapêuticos;</w:t>
            </w:r>
          </w:p>
          <w:p>
            <w:pPr>
              <w:pStyle w:val="Normal"/>
              <w:widowControl w:val="false"/>
              <w:spacing w:lineRule="auto" w:line="276" w:before="0" w:after="0"/>
              <w:jc w:val="left"/>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APÊNDICE VI DO ANEXO A – Planilha de Serviços Prestados (mês/ano); APÊNDICE VII DO ANEXO A – Ficha de Frequência do(a) usuário(a); e</w:t>
            </w:r>
          </w:p>
          <w:p>
            <w:pPr>
              <w:pStyle w:val="Normal"/>
              <w:widowControl w:val="false"/>
              <w:spacing w:lineRule="auto" w:line="276" w:before="0" w:after="0"/>
              <w:jc w:val="left"/>
              <w:rPr>
                <w:rFonts w:ascii="Calibri" w:hAnsi="Calibri" w:eastAsia="" w:cs="Times New Roman" w:asciiTheme="minorHAnsi" w:eastAsiaTheme="minorEastAsia" w:hAnsiTheme="minorHAnsi"/>
                <w:color w:val="auto"/>
                <w:kern w:val="0"/>
                <w:sz w:val="24"/>
                <w:szCs w:val="24"/>
                <w:lang w:val="pt-BR" w:eastAsia="pt-BR" w:bidi="ar-SA"/>
              </w:rPr>
            </w:pPr>
            <w:r>
              <w:rPr>
                <w:rFonts w:eastAsia="" w:cs="Times New Roman" w:eastAsiaTheme="minorEastAsia"/>
                <w:color w:val="auto"/>
                <w:kern w:val="0"/>
                <w:sz w:val="24"/>
                <w:szCs w:val="24"/>
                <w:lang w:val="pt-BR" w:eastAsia="pt-BR" w:bidi="ar-SA"/>
              </w:rPr>
              <w:t>APÊNDICE VIII DO ANEXO A – Terminologias utilizadas no Projeto Básico.</w:t>
            </w:r>
          </w:p>
        </w:tc>
      </w:tr>
      <w:tr>
        <w:trPr>
          <w:trHeight w:val="719" w:hRule="exact"/>
        </w:trPr>
        <w:tc>
          <w:tcPr>
            <w:tcW w:w="715" w:type="dxa"/>
            <w:tcBorders>
              <w:top w:val="single" w:sz="6" w:space="0" w:color="000000"/>
              <w:left w:val="single" w:sz="6" w:space="0" w:color="000000"/>
              <w:bottom w:val="single" w:sz="6" w:space="0" w:color="000000"/>
              <w:right w:val="single" w:sz="4" w:space="0" w:color="000000"/>
            </w:tcBorders>
            <w:vAlign w:val="center"/>
          </w:tcPr>
          <w:p>
            <w:pPr>
              <w:pStyle w:val="Normal"/>
              <w:widowControl w:val="false"/>
              <w:spacing w:lineRule="auto" w:line="276" w:before="0" w:after="0"/>
              <w:jc w:val="center"/>
              <w:rPr>
                <w:rFonts w:cs="Times New Roman"/>
                <w:sz w:val="24"/>
                <w:szCs w:val="24"/>
              </w:rPr>
            </w:pPr>
            <w:r>
              <w:rPr>
                <w:rFonts w:cs="Times New Roman"/>
                <w:sz w:val="24"/>
                <w:szCs w:val="24"/>
              </w:rPr>
              <w:t>Anexo "B"</w:t>
            </w:r>
          </w:p>
        </w:tc>
        <w:tc>
          <w:tcPr>
            <w:tcW w:w="77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120"/>
              <w:jc w:val="center"/>
              <w:rPr>
                <w:rFonts w:cs="Times New Roman"/>
                <w:sz w:val="24"/>
                <w:szCs w:val="24"/>
              </w:rPr>
            </w:pPr>
            <w:r>
              <w:rPr>
                <w:rFonts w:cs="Times New Roman"/>
                <w:sz w:val="24"/>
                <w:szCs w:val="24"/>
              </w:rPr>
              <w:t>Modelo de Termo de Contrato de Empresas Credenciadas.</w:t>
            </w:r>
          </w:p>
        </w:tc>
      </w:tr>
      <w:tr>
        <w:trPr>
          <w:trHeight w:val="700" w:hRule="exact"/>
        </w:trPr>
        <w:tc>
          <w:tcPr>
            <w:tcW w:w="7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76" w:before="0" w:after="0"/>
              <w:jc w:val="center"/>
              <w:rPr>
                <w:rFonts w:cs="Times New Roman"/>
                <w:sz w:val="24"/>
                <w:szCs w:val="24"/>
              </w:rPr>
            </w:pPr>
            <w:r>
              <w:rPr>
                <w:rFonts w:cs="Times New Roman"/>
                <w:sz w:val="24"/>
                <w:szCs w:val="24"/>
              </w:rPr>
              <w:t>Anexo "C"</w:t>
            </w:r>
          </w:p>
        </w:tc>
        <w:tc>
          <w:tcPr>
            <w:tcW w:w="7770" w:type="dxa"/>
            <w:tcBorders>
              <w:top w:val="single" w:sz="4" w:space="0" w:color="000000"/>
              <w:left w:val="single" w:sz="6" w:space="0" w:color="000000"/>
              <w:bottom w:val="single" w:sz="6" w:space="0" w:color="000000"/>
              <w:right w:val="single" w:sz="6" w:space="0" w:color="000000"/>
            </w:tcBorders>
            <w:vAlign w:val="center"/>
          </w:tcPr>
          <w:p>
            <w:pPr>
              <w:pStyle w:val="Normal"/>
              <w:widowControl w:val="false"/>
              <w:spacing w:lineRule="auto" w:line="276" w:before="120" w:after="120"/>
              <w:jc w:val="center"/>
              <w:rPr>
                <w:rFonts w:cs="Times New Roman"/>
                <w:sz w:val="24"/>
                <w:szCs w:val="24"/>
              </w:rPr>
            </w:pPr>
            <w:r>
              <w:rPr>
                <w:rFonts w:cs="Times New Roman"/>
                <w:sz w:val="24"/>
                <w:szCs w:val="24"/>
              </w:rPr>
              <w:t>Modelo de Carta-Proposta para Organizações Civis de Saúde (OCS)</w:t>
            </w:r>
          </w:p>
        </w:tc>
      </w:tr>
      <w:tr>
        <w:trPr>
          <w:trHeight w:val="2145" w:hRule="exact"/>
        </w:trPr>
        <w:tc>
          <w:tcPr>
            <w:tcW w:w="7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76" w:before="120" w:after="120"/>
              <w:jc w:val="center"/>
              <w:rPr>
                <w:rFonts w:cs="Times New Roman"/>
                <w:sz w:val="24"/>
                <w:szCs w:val="24"/>
              </w:rPr>
            </w:pPr>
            <w:r>
              <w:rPr>
                <w:rFonts w:cs="Times New Roman"/>
                <w:sz w:val="24"/>
                <w:szCs w:val="24"/>
              </w:rPr>
            </w:r>
          </w:p>
        </w:tc>
        <w:tc>
          <w:tcPr>
            <w:tcW w:w="77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0" w:after="0"/>
              <w:jc w:val="left"/>
              <w:rPr>
                <w:rFonts w:cs="Times New Roman"/>
                <w:sz w:val="24"/>
                <w:szCs w:val="24"/>
              </w:rPr>
            </w:pPr>
            <w:r>
              <w:rPr>
                <w:rFonts w:cs="Times New Roman"/>
                <w:sz w:val="24"/>
                <w:szCs w:val="24"/>
              </w:rPr>
              <w:t>APÊNDICE I DO ANEXO C – Modelo de Declaração de Indicação do Responsável Técnico da Instituição;</w:t>
            </w:r>
          </w:p>
          <w:p>
            <w:pPr>
              <w:pStyle w:val="Normal"/>
              <w:widowControl w:val="false"/>
              <w:spacing w:lineRule="auto" w:line="240" w:before="0" w:after="0"/>
              <w:jc w:val="left"/>
              <w:rPr>
                <w:rFonts w:cs="Times New Roman"/>
                <w:sz w:val="24"/>
                <w:szCs w:val="24"/>
              </w:rPr>
            </w:pPr>
            <w:r>
              <w:rPr>
                <w:rFonts w:cs="Times New Roman"/>
                <w:sz w:val="24"/>
                <w:szCs w:val="24"/>
              </w:rPr>
              <w:t xml:space="preserve">APÊNDICE II DO ANEXO C – Modelo de Apresentação da Equipe Técnica da Instituição;  e </w:t>
            </w:r>
          </w:p>
          <w:p>
            <w:pPr>
              <w:pStyle w:val="Normal"/>
              <w:widowControl w:val="false"/>
              <w:spacing w:lineRule="auto" w:line="240" w:before="0" w:after="0"/>
              <w:jc w:val="left"/>
              <w:rPr>
                <w:rFonts w:cs="Times New Roman"/>
                <w:sz w:val="24"/>
                <w:szCs w:val="24"/>
              </w:rPr>
            </w:pPr>
            <w:r>
              <w:rPr>
                <w:rFonts w:cs="Times New Roman"/>
                <w:sz w:val="24"/>
                <w:szCs w:val="24"/>
              </w:rPr>
              <w:t>APÊNDICE III DO ANEXO C – Modelo de Apresentação dos Equipamentos Técnicos da Instituição.</w:t>
            </w:r>
          </w:p>
        </w:tc>
      </w:tr>
    </w:tbl>
    <w:p>
      <w:pPr>
        <w:pStyle w:val="Normal"/>
        <w:widowControl w:val="false"/>
        <w:numPr>
          <w:ilvl w:val="0"/>
          <w:numId w:val="0"/>
        </w:numPr>
        <w:spacing w:lineRule="auto" w:line="276" w:before="120" w:after="120"/>
        <w:ind w:left="0" w:hanging="0"/>
        <w:jc w:val="both"/>
        <w:rPr>
          <w:sz w:val="24"/>
          <w:szCs w:val="24"/>
        </w:rPr>
      </w:pPr>
      <w:r>
        <mc:AlternateContent>
          <mc:Choice Requires="wps">
            <w:drawing>
              <wp:anchor behindDoc="1" distT="0" distB="0" distL="0" distR="0" simplePos="0" locked="0" layoutInCell="1" allowOverlap="1" relativeHeight="2" wp14:anchorId="51987375">
                <wp:simplePos x="0" y="0"/>
                <wp:positionH relativeFrom="page">
                  <wp:posOffset>7546975</wp:posOffset>
                </wp:positionH>
                <wp:positionV relativeFrom="paragraph">
                  <wp:posOffset>-1592580</wp:posOffset>
                </wp:positionV>
                <wp:extent cx="16510" cy="514985"/>
                <wp:effectExtent l="0" t="0" r="19050" b="15240"/>
                <wp:wrapNone/>
                <wp:docPr id="1" name="Freeform 25"/>
                <a:graphic xmlns:a="http://schemas.openxmlformats.org/drawingml/2006/main">
                  <a:graphicData uri="http://schemas.microsoft.com/office/word/2010/wordprocessingShape">
                    <wps:wsp>
                      <wps:cNvSpPr/>
                      <wps:spPr>
                        <a:xfrm>
                          <a:off x="0" y="0"/>
                          <a:ext cx="15840" cy="514440"/>
                        </a:xfrm>
                        <a:custGeom>
                          <a:avLst/>
                          <a:gdLst/>
                          <a:ahLst/>
                          <a:rect l="l" t="t" r="r" b="b"/>
                          <a:pathLst>
                            <a:path w="20" h="786">
                              <a:moveTo>
                                <a:pt x="0" y="786"/>
                              </a:moveTo>
                              <a:lnTo>
                                <a:pt x="0" y="0"/>
                              </a:lnTo>
                            </a:path>
                          </a:pathLst>
                        </a:custGeom>
                        <a:noFill/>
                        <a:ln w="3960">
                          <a:solidFill>
                            <a:srgbClr val="000000"/>
                          </a:solidFill>
                          <a:round/>
                        </a:ln>
                      </wps:spPr>
                      <wps:style>
                        <a:lnRef idx="0"/>
                        <a:fillRef idx="0"/>
                        <a:effectRef idx="0"/>
                        <a:fontRef idx="minor"/>
                      </wps:style>
                      <wps:bodyPr/>
                    </wps:wsp>
                  </a:graphicData>
                </a:graphic>
              </wp:anchor>
            </w:drawing>
          </mc:Choice>
          <mc:Fallback>
            <w:pict/>
          </mc:Fallback>
        </mc:AlternateContent>
      </w:r>
      <w:r>
        <w:rPr>
          <w:rFonts w:cs="Times New Roman"/>
          <w:bCs/>
          <w:sz w:val="24"/>
          <w:szCs w:val="24"/>
        </w:rPr>
        <w:t>1.4  O presente Edital e seus anexos poderão ser examinados no Portal Nacional de Contratações Públicas – PNCP, disponível no endereço: https://www.gov.br/pncp/pt-br</w:t>
      </w:r>
      <w:r>
        <w:rPr>
          <w:rFonts w:cs="Times New Roman"/>
          <w:sz w:val="24"/>
          <w:szCs w:val="24"/>
        </w:rPr>
        <w:t>.</w:t>
      </w:r>
    </w:p>
    <w:p>
      <w:pPr>
        <w:pStyle w:val="Normal"/>
        <w:widowControl w:val="false"/>
        <w:numPr>
          <w:ilvl w:val="0"/>
          <w:numId w:val="0"/>
        </w:numPr>
        <w:spacing w:lineRule="auto" w:line="276" w:before="120" w:after="120"/>
        <w:ind w:left="0" w:hanging="0"/>
        <w:jc w:val="both"/>
        <w:rPr/>
      </w:pPr>
      <w:r>
        <w:rPr>
          <w:rFonts w:cs="Times New Roman"/>
          <w:sz w:val="24"/>
          <w:szCs w:val="24"/>
        </w:rPr>
        <w:t>1.5  A documentação mencionada no item acima também poderá ser consultada no endereço eletrônico</w:t>
      </w:r>
      <w:r>
        <w:rPr>
          <w:rStyle w:val="Fontepargpadro"/>
          <w:rFonts w:eastAsia="Times New Roman" w:cs="Calibri"/>
          <w:color w:val="000000"/>
          <w:sz w:val="24"/>
          <w:szCs w:val="24"/>
          <w:lang w:bidi="ar-SA"/>
        </w:rPr>
        <w:t xml:space="preserve"> </w:t>
      </w:r>
      <w:hyperlink r:id="rId4">
        <w:r>
          <w:rPr>
            <w:rStyle w:val="LinkdaInternet"/>
            <w:rFonts w:cs="Times New Roman"/>
            <w:sz w:val="24"/>
            <w:szCs w:val="24"/>
          </w:rPr>
          <w:t>www.marinha.mil.br/com4dn</w:t>
        </w:r>
      </w:hyperlink>
      <w:r>
        <w:rPr>
          <w:rFonts w:cs="Times New Roman"/>
          <w:sz w:val="24"/>
          <w:szCs w:val="24"/>
        </w:rPr>
        <w:t xml:space="preserve"> ou ser recebida por mensagem eletrônica, sendo que para a solicitação de outras informações deverá ser utilizado o contato pelo telefone: 91 -  3216-4063.</w:t>
      </w:r>
      <w:r>
        <w:rPr>
          <w:rFonts w:cs="Times New Roman"/>
          <w:color w:val="C9211E"/>
          <w:sz w:val="24"/>
          <w:szCs w:val="24"/>
        </w:rPr>
        <w:t xml:space="preserve">  </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2   </w:t>
      </w:r>
      <w:r>
        <w:rPr>
          <w:rFonts w:cs="Times New Roman"/>
          <w:b/>
          <w:sz w:val="24"/>
          <w:szCs w:val="24"/>
          <w:u w:val="single"/>
        </w:rPr>
        <w:t>DO OBJETO.</w:t>
      </w:r>
    </w:p>
    <w:p>
      <w:pPr>
        <w:pStyle w:val="Normal"/>
        <w:widowControl w:val="false"/>
        <w:numPr>
          <w:ilvl w:val="0"/>
          <w:numId w:val="0"/>
        </w:numPr>
        <w:spacing w:lineRule="auto" w:line="276" w:before="120" w:after="120"/>
        <w:ind w:left="0" w:hanging="0"/>
        <w:jc w:val="both"/>
        <w:rPr/>
      </w:pPr>
      <w:r>
        <w:rPr>
          <w:rFonts w:cs="Times New Roman"/>
          <w:sz w:val="24"/>
          <w:szCs w:val="24"/>
        </w:rPr>
        <w:t xml:space="preserve">2.1  O objeto deste Edital é o credenciamento, nos Estados </w:t>
      </w:r>
      <w:r>
        <w:rPr>
          <w:rStyle w:val="Fontepargpadro4"/>
          <w:rFonts w:eastAsia="Times New Roman" w:cs="Calibri"/>
          <w:color w:val="000000"/>
          <w:sz w:val="24"/>
          <w:szCs w:val="24"/>
          <w:lang w:bidi="ar-SA"/>
        </w:rPr>
        <w:t>do Amapá, Maranhão, Pará e Piauí</w:t>
      </w:r>
      <w:r>
        <w:rPr>
          <w:rFonts w:cs="Times New Roman"/>
          <w:sz w:val="24"/>
          <w:szCs w:val="24"/>
        </w:rPr>
        <w:t xml:space="preserve">, de Organizações Civis de Saúde (OCS) interessadas na prestação de serviços </w:t>
      </w:r>
      <w:r>
        <w:rPr>
          <w:rStyle w:val="Fontepargpadro4"/>
          <w:rFonts w:cs="Calibri"/>
          <w:color w:val="000000"/>
          <w:sz w:val="24"/>
          <w:szCs w:val="24"/>
        </w:rPr>
        <w:t xml:space="preserve">de Atenção Especializada em habilitação/reabilitação, </w:t>
      </w:r>
      <w:r>
        <w:rPr>
          <w:rStyle w:val="Fontepargpadro4"/>
          <w:rFonts w:cs="Times New Roman"/>
          <w:color w:val="000000"/>
          <w:sz w:val="24"/>
          <w:szCs w:val="24"/>
        </w:rPr>
        <w:t xml:space="preserve">complementares de assistência à saúde, </w:t>
      </w:r>
      <w:r>
        <w:rPr>
          <w:rStyle w:val="Fontepargpadro4"/>
          <w:rFonts w:cs="Calibri"/>
          <w:color w:val="000000"/>
          <w:sz w:val="24"/>
          <w:szCs w:val="24"/>
        </w:rPr>
        <w:t xml:space="preserve">Física, Intelectual, Auditiva, Visual, TEA e Múltiplas Deficiências à pessoa com deficiência, usuária do Programa de Atendimento Especial - Pessoa com Deficiência-PAE), com vistas a COMPLEMENTAR os serviços especializados das Organizações Militares de Saúde (OMS), de acordo com as condições vigentes nos arts. 74 e 79 da Lei nº 14.133, de 2021, no Decreto nº 11.878, de 2024 e conforme preceitua o inciso II, do art. 20, do Decreto nº 92.512/1986. </w:t>
      </w:r>
    </w:p>
    <w:p>
      <w:pPr>
        <w:pStyle w:val="Normal"/>
        <w:widowControl w:val="false"/>
        <w:numPr>
          <w:ilvl w:val="0"/>
          <w:numId w:val="0"/>
        </w:numPr>
        <w:suppressAutoHyphens w:val="true"/>
        <w:bidi w:val="0"/>
        <w:spacing w:lineRule="auto" w:line="276" w:before="120" w:after="120"/>
        <w:ind w:left="0" w:right="0" w:hanging="0"/>
        <w:jc w:val="both"/>
        <w:rPr/>
      </w:pPr>
      <w:r>
        <w:rPr>
          <w:rStyle w:val="Fontepargpadro4"/>
          <w:rFonts w:cs="Calibri"/>
          <w:color w:val="000000"/>
          <w:sz w:val="24"/>
          <w:szCs w:val="24"/>
        </w:rPr>
        <w:tab/>
        <w:t>2.1.1 As Organizações Civis de Saúde (OCS) deverão apresentar equipes multiprofissionais, compostas por diversas especialidades como, por exemplo: Fisioterapia Motora e Respiratória, Fonoaudiologia, Psicologia, Psicomotricidade, Psicopedagogia, Pedagogia, Terapia Ocupacional, Musicoterapia, Arteterapia, Hidroterapia, dentre outras.</w:t>
      </w:r>
    </w:p>
    <w:p>
      <w:pPr>
        <w:pStyle w:val="Normal"/>
        <w:widowControl w:val="false"/>
        <w:numPr>
          <w:ilvl w:val="0"/>
          <w:numId w:val="0"/>
        </w:numPr>
        <w:suppressAutoHyphens w:val="true"/>
        <w:bidi w:val="0"/>
        <w:spacing w:lineRule="auto" w:line="276" w:before="120" w:after="120"/>
        <w:ind w:left="0" w:right="0" w:hanging="0"/>
        <w:jc w:val="both"/>
        <w:rPr/>
      </w:pPr>
      <w:r>
        <w:rPr>
          <w:rStyle w:val="Fontepargpadro4"/>
          <w:rFonts w:cs="Calibri"/>
          <w:color w:val="000000"/>
          <w:sz w:val="24"/>
          <w:szCs w:val="24"/>
        </w:rPr>
        <w:tab/>
        <w:t>2.1.2  O público-alvo a que se destina o atendimento são os dependentes de militares e servidores civis da MARINHA DO BRASIL, com idade igual ou superior a 3 anos de idade, que apresentem distúrbios do desenvolvimento neuropsicomotor, ou seja, prejuízos neuromotores, mentais ou sensoriais causados por transtornos congênitos, perinatais ou adquiridos na infância, cujas apresentações clínicas mais frequentes são a paralisia cerebral, a deficiência intelectual, as deficiências sensoriais (visual e auditiva) e os Transtornos do Espectro Autista.</w:t>
      </w:r>
    </w:p>
    <w:p>
      <w:pPr>
        <w:pStyle w:val="Normal"/>
        <w:widowControl w:val="false"/>
        <w:numPr>
          <w:ilvl w:val="0"/>
          <w:numId w:val="0"/>
        </w:numPr>
        <w:suppressAutoHyphens w:val="true"/>
        <w:bidi w:val="0"/>
        <w:spacing w:lineRule="auto" w:line="276" w:before="120" w:after="120"/>
        <w:ind w:left="0" w:right="0" w:hanging="0"/>
        <w:jc w:val="both"/>
        <w:rPr/>
      </w:pPr>
      <w:r>
        <w:rPr>
          <w:rFonts w:cs="Times New Roman"/>
          <w:sz w:val="24"/>
          <w:szCs w:val="24"/>
        </w:rPr>
        <w:tab/>
        <w:t xml:space="preserve">2.1.3  Estes beneficiários serão assistidos pelo </w:t>
      </w:r>
      <w:r>
        <w:rPr>
          <w:rFonts w:eastAsia="" w:cs="Times New Roman" w:eastAsiaTheme="minorEastAsia"/>
          <w:color w:val="auto"/>
          <w:kern w:val="0"/>
          <w:sz w:val="24"/>
          <w:szCs w:val="24"/>
          <w:lang w:val="pt-BR" w:eastAsia="pt-BR" w:bidi="ar-SA"/>
        </w:rPr>
        <w:t>Núcleo de Assistência Social (NAS) do Comando do 4° Distrito Naval</w:t>
      </w:r>
      <w:r>
        <w:rPr>
          <w:rFonts w:cs="Times New Roman"/>
          <w:sz w:val="24"/>
          <w:szCs w:val="24"/>
        </w:rPr>
        <w:t>, na área de abrangência dos estados d</w:t>
      </w:r>
      <w:r>
        <w:rPr>
          <w:rFonts w:eastAsia="" w:cs="Times New Roman" w:eastAsiaTheme="minorEastAsia"/>
          <w:color w:val="auto"/>
          <w:kern w:val="0"/>
          <w:sz w:val="24"/>
          <w:szCs w:val="24"/>
          <w:lang w:val="pt-BR" w:eastAsia="pt-BR" w:bidi="ar-SA"/>
        </w:rPr>
        <w:t>o Amapá, Maranhão, Pará e Piauí,</w:t>
      </w:r>
      <w:r>
        <w:rPr>
          <w:rFonts w:cs="Times New Roman"/>
          <w:sz w:val="24"/>
          <w:szCs w:val="24"/>
        </w:rPr>
        <w:t xml:space="preserve"> conforme o preconizado e previsto na Norma sobre a Assistência Social na Marinha do Brasil, da Diretoria Geral de Pessoal da Marinha (DGPM), a DGPM-501 (7a Rev.), capítulo 08, Programa de Atendimento Especial – Pessoa com Deficiência (PAE), e de acordo com as especificações contidas no Apêndice I (Tabela de Preços) em regimes: Ambulatorial e/ou Externato.</w:t>
      </w:r>
    </w:p>
    <w:p>
      <w:pPr>
        <w:pStyle w:val="Normal"/>
        <w:widowControl w:val="false"/>
        <w:numPr>
          <w:ilvl w:val="0"/>
          <w:numId w:val="0"/>
        </w:numPr>
        <w:spacing w:lineRule="auto" w:line="276" w:before="120" w:after="120"/>
        <w:ind w:left="0" w:hanging="0"/>
        <w:jc w:val="both"/>
        <w:rPr>
          <w:sz w:val="24"/>
          <w:szCs w:val="24"/>
        </w:rPr>
      </w:pPr>
      <w:r>
        <w:rPr>
          <w:rFonts w:cs="Times New Roman"/>
          <w:b/>
          <w:bCs/>
          <w:sz w:val="24"/>
          <w:szCs w:val="24"/>
          <w:u w:val="none"/>
        </w:rPr>
        <w:t xml:space="preserve">3   </w:t>
      </w:r>
      <w:r>
        <w:rPr>
          <w:rFonts w:cs="Times New Roman"/>
          <w:b/>
          <w:bCs/>
          <w:sz w:val="24"/>
          <w:szCs w:val="24"/>
          <w:u w:val="single"/>
        </w:rPr>
        <w:t>DA PARTICIPAÇÃO NO CREDENCIAMENTO.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3.1 O prazo para credenciamento iniciar-se-á a partir da data de publicação deste instrumento no Portal Nacional de Contratações Públicas – PNCP.</w:t>
      </w:r>
    </w:p>
    <w:p>
      <w:pPr>
        <w:pStyle w:val="Normal"/>
        <w:widowControl w:val="false"/>
        <w:suppressAutoHyphens w:val="true"/>
        <w:bidi w:val="0"/>
        <w:spacing w:lineRule="auto" w:line="276" w:before="120" w:after="120"/>
        <w:ind w:left="0" w:right="0" w:hanging="0"/>
        <w:jc w:val="both"/>
        <w:rPr>
          <w:sz w:val="24"/>
          <w:szCs w:val="24"/>
        </w:rPr>
      </w:pPr>
      <w:r>
        <w:rPr>
          <w:rFonts w:cs="Times New Roman"/>
          <w:sz w:val="24"/>
          <w:szCs w:val="24"/>
        </w:rPr>
        <w:tab/>
        <w:t xml:space="preserve">3.1.1 O presente Edital </w:t>
      </w:r>
      <w:r>
        <w:rPr>
          <w:rFonts w:cs="Times New Roman"/>
          <w:b/>
          <w:bCs/>
          <w:color w:val="auto"/>
          <w:sz w:val="24"/>
          <w:szCs w:val="24"/>
          <w:u w:val="single"/>
        </w:rPr>
        <w:t>vigorará por prazo indeterminado</w:t>
      </w:r>
      <w:r>
        <w:rPr>
          <w:rFonts w:cs="Times New Roman"/>
          <w:color w:val="auto"/>
          <w:sz w:val="24"/>
          <w:szCs w:val="24"/>
        </w:rPr>
        <w:t xml:space="preserve">, </w:t>
      </w:r>
      <w:r>
        <w:rPr>
          <w:rFonts w:cs="Times New Roman"/>
          <w:sz w:val="24"/>
          <w:szCs w:val="24"/>
        </w:rPr>
        <w:t>a partir da sua publicação no Portal Nacional de Contratações Públicas - PNCP.</w:t>
      </w:r>
    </w:p>
    <w:p>
      <w:pPr>
        <w:pStyle w:val="Normal"/>
        <w:widowControl w:val="false"/>
        <w:spacing w:lineRule="auto" w:line="276" w:before="120" w:after="120"/>
        <w:ind w:left="0" w:hanging="0"/>
        <w:jc w:val="both"/>
        <w:rPr>
          <w:sz w:val="24"/>
          <w:szCs w:val="24"/>
        </w:rPr>
      </w:pPr>
      <w:r>
        <w:rPr>
          <w:rFonts w:cs="Times New Roman"/>
          <w:sz w:val="24"/>
          <w:szCs w:val="24"/>
        </w:rPr>
        <w:tab/>
        <w:t>3.1.2 Poderá haver o credenciamento de interessados enquanto aberto o prazo de credenciamento, desde que atendidos os demais requisitos deste Edital.</w:t>
      </w:r>
    </w:p>
    <w:p>
      <w:pPr>
        <w:pStyle w:val="Normal"/>
        <w:widowControl w:val="false"/>
        <w:spacing w:lineRule="auto" w:line="276" w:before="120" w:after="120"/>
        <w:ind w:left="0" w:hanging="0"/>
        <w:jc w:val="both"/>
        <w:rPr>
          <w:sz w:val="24"/>
          <w:szCs w:val="24"/>
        </w:rPr>
      </w:pPr>
      <w:r>
        <w:rPr>
          <w:rFonts w:cs="Times New Roman"/>
          <w:sz w:val="24"/>
          <w:szCs w:val="24"/>
        </w:rPr>
        <w:tab/>
        <w:t>3.1.3 Serão credenciadas, dentre aquelas que preencherem os requisitos dispostos no Edital, tantas pessoas jurídicas quantas forem necessárias ao atendimento da demanda apresentada pelo PAE.</w:t>
      </w:r>
    </w:p>
    <w:p>
      <w:pPr>
        <w:pStyle w:val="Normal"/>
        <w:widowControl w:val="false"/>
        <w:spacing w:lineRule="auto" w:line="276" w:before="120" w:after="120"/>
        <w:ind w:left="0" w:hanging="0"/>
        <w:jc w:val="both"/>
        <w:rPr>
          <w:sz w:val="24"/>
          <w:szCs w:val="24"/>
        </w:rPr>
      </w:pPr>
      <w:r>
        <w:rPr>
          <w:rFonts w:cs="Times New Roman"/>
          <w:sz w:val="24"/>
          <w:szCs w:val="24"/>
        </w:rPr>
        <w:tab/>
        <w:t>3.1.4 A simples apresentação da documentação submete o interessado às condições estipuladas neste Edital e seus anexos.</w:t>
      </w:r>
    </w:p>
    <w:p>
      <w:pPr>
        <w:pStyle w:val="Normal"/>
        <w:widowControl w:val="false"/>
        <w:spacing w:lineRule="auto" w:line="276" w:before="120" w:after="120"/>
        <w:ind w:left="0" w:hanging="0"/>
        <w:jc w:val="both"/>
        <w:rPr>
          <w:sz w:val="24"/>
          <w:szCs w:val="24"/>
        </w:rPr>
      </w:pPr>
      <w:r>
        <w:rPr>
          <w:rFonts w:cs="Times New Roman"/>
          <w:sz w:val="24"/>
          <w:szCs w:val="24"/>
        </w:rPr>
        <w:tab/>
        <w:t xml:space="preserve">3.1.5 Serão inabilitados os interessados que apresentarem documentos incompletos, ilegíveis, com emendas, rasuras ou qualquer irregularidade, bem como aqueles que não atenderem às exigências deste Edital.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3.2  Poderão habilitar-se, para credenciamento, Organização Civil de Saúde (OCS) de acordo com as necessidades listadas n</w:t>
      </w:r>
      <w:r>
        <w:rPr>
          <w:rFonts w:cs="Times New Roman"/>
          <w:bCs/>
          <w:sz w:val="24"/>
          <w:szCs w:val="24"/>
        </w:rPr>
        <w:t>este Edital</w:t>
      </w:r>
      <w:r>
        <w:rPr>
          <w:rFonts w:cs="Times New Roman"/>
          <w:b/>
          <w:bCs/>
          <w:sz w:val="24"/>
          <w:szCs w:val="24"/>
        </w:rPr>
        <w:t xml:space="preserve"> </w:t>
      </w:r>
      <w:r>
        <w:rPr>
          <w:rFonts w:cs="Times New Roman"/>
          <w:sz w:val="24"/>
          <w:szCs w:val="24"/>
        </w:rPr>
        <w:t xml:space="preserve">e que apresentarem </w:t>
      </w:r>
      <w:r>
        <w:rPr>
          <w:rFonts w:cs="Times New Roman"/>
          <w:b/>
          <w:bCs/>
          <w:sz w:val="24"/>
          <w:szCs w:val="24"/>
          <w:u w:val="single"/>
        </w:rPr>
        <w:t>Carta-Proposta (anexo C, do Edital), e sejam previamente cadastrados no SICAF – Sistema de Cadastramento Unificado de Fornecedores</w:t>
      </w:r>
      <w:r>
        <w:rPr>
          <w:rFonts w:cs="Times New Roman"/>
          <w:sz w:val="24"/>
          <w:szCs w:val="24"/>
        </w:rPr>
        <w:t>, previsto na Instrução Normativa SEGES/MPDG nº 3, de 26 de abril de 2018.</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3.3  Não poderão participar deste credenciamento:</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3.3.1 Pessoas jurídicas cujo objeto social não seja pertinente e compatível com o objeto deste credenciamento.</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3.3.1.1 Excepciona-se o disposto acima nos casos de pessoas jurídicas com fins lucrativos que apresentem autorização específica dos sócios para contratar com a Administração objeto diverso do previsto no contrato social ou estatuto;</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3.3.1.2 A autorização assemblear deverá observar as regras de convocação e de quórum para instauração e deliberação previstas em lei para cada tipo de sociedade.</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3.3.1.3 Para fins de comprovação, o licitante deverá apresentar a ata da assembleia ou o documento equivalente.</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3.3.2 Pessoas jurídicas ou sociedades estrangeiras que não funcionem no país;</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3.3.3 Pessoas jurídicas ou físicas impedidas de licitar e contratar com a União (art. 7º da Lei nº 10.520, de 2002 cumulado com o art. 28 do Decreto nº 5.450, de 2005 e art. 156, III da Lei nº 14.133, de 2021), suspensas temporariamente de participar de licitação ou impedidas de licitar e contratar com a Administração Pública Federal (art. 156, III e §4º da Lei nº 14.133, de 2021);</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3.3.4 Pessoas jurídicas ou físicas declaradas inidôneas para licitar ou contratar com a Administração Pública, enquanto perdurarem os motivos da punição ou até que tenha expirado o prazo de sua aplicação;</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3.3.5 Pessoas jurídicas ou físicas proibidas de contratar com o Poder Público, nos termos do art. 72, § 8º, V, da Lei nº 9.605, de 1998;</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3.3.6 Pessoas jurídicas em processo falimentar;</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3.3.7 Pessoas jurídicas em dissolução ou em liquidação;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3.3.8 Pessoas físicas em processo de insolvência civil;</w:t>
      </w:r>
    </w:p>
    <w:p>
      <w:pPr>
        <w:pStyle w:val="Normal"/>
        <w:widowControl w:val="false"/>
        <w:numPr>
          <w:ilvl w:val="0"/>
          <w:numId w:val="0"/>
        </w:numPr>
        <w:tabs>
          <w:tab w:val="clear" w:pos="709"/>
          <w:tab w:val="left" w:pos="732" w:leader="none"/>
        </w:tabs>
        <w:suppressAutoHyphens w:val="true"/>
        <w:bidi w:val="0"/>
        <w:spacing w:lineRule="auto" w:line="276" w:before="120" w:after="120"/>
        <w:ind w:left="0" w:right="0" w:hanging="0"/>
        <w:jc w:val="both"/>
        <w:rPr>
          <w:sz w:val="24"/>
          <w:szCs w:val="24"/>
        </w:rPr>
      </w:pPr>
      <w:r>
        <w:rPr>
          <w:rFonts w:cs="Times New Roman"/>
          <w:sz w:val="24"/>
          <w:szCs w:val="24"/>
        </w:rPr>
        <w:tab/>
        <w:t>3.3.9 Pessoas jurídicas de que sejam proprietários, controladores ou diretores Deputados ou Senadores (art. 54, II, da Constituição Federal);</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3.3.10 Pessoas jurídicas ou físicas proibidas de contratar com o Poder Público, nos termos do art. 12 da Lei nº 8.429/1992 (Lei de Improbidade Administrativa);</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3.3.11 Quaisquer interessados que se enquadrarem nas vedações previstas nos §§1º e 2º do art. 9º da Lei nº 14.133, de 2021;</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3.3.12 M</w:t>
      </w:r>
      <w:r>
        <w:rPr>
          <w:rFonts w:cs="Times New Roman"/>
          <w:color w:val="000000"/>
          <w:sz w:val="24"/>
          <w:szCs w:val="24"/>
        </w:rPr>
        <w:t>antenha vínculo de natureza técnica, comercial, econômica, financeira, trabalhista ou civil com dirigente do órgão ou da entidade credenciante ou com agente público que desempenhe função no processo de contratação ou atue na fiscalização ou na gestão do contrato,</w:t>
      </w:r>
      <w:r>
        <w:rPr>
          <w:rFonts w:cs="Times New Roman"/>
          <w:sz w:val="24"/>
          <w:szCs w:val="24"/>
        </w:rPr>
        <w:t xml:space="preserve"> e dos que exerçam funções de Ordenador de Despesas, bem como de Comandante </w:t>
      </w:r>
      <w:r>
        <w:rPr>
          <w:rFonts w:eastAsia="" w:cs="Times New Roman" w:eastAsiaTheme="minorEastAsia"/>
          <w:color w:val="auto"/>
          <w:kern w:val="0"/>
          <w:sz w:val="24"/>
          <w:szCs w:val="24"/>
          <w:lang w:val="pt-BR" w:eastAsia="pt-BR" w:bidi="ar-SA"/>
        </w:rPr>
        <w:t>do 4° Distrito Naval</w:t>
      </w:r>
      <w:r>
        <w:rPr>
          <w:rFonts w:cs="Times New Roman"/>
          <w:color w:val="000000"/>
          <w:sz w:val="24"/>
          <w:szCs w:val="24"/>
        </w:rPr>
        <w:t xml:space="preserve"> ou que deles seja cônjuge, companheiro ou parente em linha reta, colateral ou por afinidade, até o terceiro grau.</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3.3.13 Sociedades que tenham em seu quadro societário quaisquer das pessoas indicadas nos subitens anteriores.</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3.3.13.1 Neste caso a restrição poderá ser afastada caso comprovada, no caso concreto, a ausência de ofensa aos princípios da isonomia, da impessoalidade e da moralidade.</w:t>
      </w:r>
    </w:p>
    <w:p>
      <w:pPr>
        <w:pStyle w:val="Normal"/>
        <w:widowControl w:val="false"/>
        <w:numPr>
          <w:ilvl w:val="0"/>
          <w:numId w:val="0"/>
        </w:numPr>
        <w:spacing w:lineRule="auto" w:line="276" w:before="120" w:after="120"/>
        <w:ind w:left="0" w:hanging="0"/>
        <w:jc w:val="both"/>
        <w:rPr>
          <w:sz w:val="24"/>
          <w:szCs w:val="24"/>
        </w:rPr>
      </w:pPr>
      <w:r>
        <w:rPr>
          <w:rFonts w:cs="Times New Roman"/>
          <w:b w:val="false"/>
          <w:bCs w:val="false"/>
          <w:sz w:val="24"/>
          <w:szCs w:val="24"/>
          <w:u w:val="none"/>
        </w:rPr>
        <w:t xml:space="preserve">3.4 </w:t>
      </w:r>
      <w:r>
        <w:rPr>
          <w:rFonts w:cs="Times New Roman"/>
          <w:b/>
          <w:bCs/>
          <w:sz w:val="24"/>
          <w:szCs w:val="24"/>
          <w:u w:val="single"/>
        </w:rPr>
        <w:t>A documentação deverá ser anexada ao sistema próprio do Compras.gov.br, após cadastramento no SICAF – Sistema de Cadastramento Unificado de Fornecedores</w:t>
      </w:r>
      <w:r>
        <w:rPr>
          <w:rFonts w:cs="Times New Roman"/>
          <w:sz w:val="24"/>
          <w:szCs w:val="24"/>
        </w:rPr>
        <w:t>, previsto na Instrução Normativa SEGES/MPDG nº 3, de 26 de abril de 2018.</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3.4.1 Em havendo a impossibilidade de envio pelo sistema próprio do Compras.gov.br a documentação poderá ser, excepcionalmente, enviada para o e-mail:  </w:t>
      </w:r>
      <w:r>
        <w:rPr>
          <w:rStyle w:val="Fontepargpadro"/>
          <w:rFonts w:eastAsia="Times New Roman" w:cs="Calibri"/>
          <w:color w:val="000000"/>
          <w:sz w:val="24"/>
          <w:szCs w:val="24"/>
          <w:lang w:bidi="ar-SA"/>
        </w:rPr>
        <w:t>augusto.marcelino</w:t>
      </w:r>
      <w:hyperlink r:id="rId5">
        <w:r>
          <w:rPr>
            <w:rStyle w:val="LinkdaInternet"/>
            <w:rFonts w:eastAsia="Times New Roman" w:cs="Calibri"/>
            <w:color w:val="00000A"/>
            <w:sz w:val="24"/>
            <w:szCs w:val="24"/>
          </w:rPr>
          <w:t>@marinha.mil.br</w:t>
        </w:r>
      </w:hyperlink>
      <w:r>
        <w:rPr>
          <w:rStyle w:val="Fontepargpadro"/>
          <w:rFonts w:eastAsia="Times New Roman" w:cs="Calibri"/>
          <w:color w:val="00000A"/>
          <w:sz w:val="24"/>
          <w:szCs w:val="24"/>
        </w:rPr>
        <w:t>.</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3.5 Para se habilitar à contratação, a </w:t>
      </w:r>
      <w:r>
        <w:rPr>
          <w:rFonts w:eastAsia="" w:cs="Times New Roman" w:eastAsiaTheme="minorEastAsia"/>
          <w:b w:val="false"/>
          <w:bCs w:val="false"/>
          <w:color w:val="auto"/>
          <w:kern w:val="0"/>
          <w:sz w:val="24"/>
          <w:szCs w:val="24"/>
          <w:lang w:val="pt-BR" w:eastAsia="pt-BR" w:bidi="ar-SA"/>
        </w:rPr>
        <w:t>pessoa jurídica</w:t>
      </w:r>
      <w:r>
        <w:rPr>
          <w:rFonts w:cs="Times New Roman"/>
          <w:sz w:val="24"/>
          <w:szCs w:val="24"/>
        </w:rPr>
        <w:t xml:space="preserve"> interessada deverá apresentar “</w:t>
      </w:r>
      <w:r>
        <w:rPr>
          <w:rFonts w:cs="Times New Roman"/>
          <w:b/>
          <w:sz w:val="24"/>
          <w:szCs w:val="24"/>
        </w:rPr>
        <w:t>Carta Proposta</w:t>
      </w:r>
      <w:r>
        <w:rPr>
          <w:rFonts w:cs="Times New Roman"/>
          <w:sz w:val="24"/>
          <w:szCs w:val="24"/>
        </w:rPr>
        <w:t>”, assinada pelo (a) preposto da instituição, conforme modelo do Anexo C, do Edital,  acompanhada dos documentos necessários, atendendo às seguintes exigências:</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3.5.1 Estar contida em papel timbrado da pessoa jurídica ou que a identifiquem, sem emendas e sem rasuras, de maneira completa, expressa e inteligível;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3.5.2 Declaração de concordância com </w:t>
      </w:r>
      <w:r>
        <w:rPr>
          <w:rFonts w:eastAsia="" w:cs="Times New Roman" w:eastAsiaTheme="minorEastAsia"/>
          <w:color w:val="auto"/>
          <w:kern w:val="0"/>
          <w:sz w:val="24"/>
          <w:szCs w:val="24"/>
          <w:lang w:val="pt-BR" w:eastAsia="pt-BR" w:bidi="ar-SA"/>
        </w:rPr>
        <w:t>os Termos do</w:t>
      </w:r>
      <w:r>
        <w:rPr>
          <w:rFonts w:cs="Times New Roman"/>
          <w:sz w:val="24"/>
          <w:szCs w:val="24"/>
        </w:rPr>
        <w:t xml:space="preserve"> Edital, seus anexos e apêndices;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3.5.3 Apresentação da Equipe Técnica</w:t>
      </w:r>
    </w:p>
    <w:p>
      <w:pPr>
        <w:pStyle w:val="Normal"/>
        <w:widowControl w:val="false"/>
        <w:numPr>
          <w:ilvl w:val="0"/>
          <w:numId w:val="0"/>
        </w:numPr>
        <w:spacing w:lineRule="auto" w:line="276" w:before="120" w:after="120"/>
        <w:ind w:left="0" w:hanging="0"/>
        <w:jc w:val="both"/>
        <w:rPr>
          <w:sz w:val="24"/>
          <w:szCs w:val="24"/>
        </w:rPr>
      </w:pPr>
      <w:r>
        <w:rPr>
          <w:rFonts w:eastAsia="" w:cs="Times New Roman" w:eastAsiaTheme="minorEastAsia"/>
          <w:color w:val="auto"/>
          <w:kern w:val="0"/>
          <w:sz w:val="24"/>
          <w:szCs w:val="24"/>
          <w:lang w:val="pt-BR" w:eastAsia="pt-BR" w:bidi="ar-SA"/>
        </w:rPr>
        <w:tab/>
        <w:t>3.5.4 Apresentação dos</w:t>
      </w:r>
      <w:r>
        <w:rPr>
          <w:rFonts w:cs="Times New Roman"/>
          <w:sz w:val="24"/>
          <w:szCs w:val="24"/>
        </w:rPr>
        <w:t xml:space="preserve"> equipamentos técnicos;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3.5.5 Declaração de não possuir profissionais menores de 18 anos;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3.5.6 Declaração de que inexistem fatos impeditivos para o credenciamento;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3.5.7 Apresentação dos dados bancários para crédito de pagamentos; e</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 xml:space="preserve">3.5.8 Ser datada e assinada pelo representante legal, podendo o ser por meio eletrônico. </w:t>
      </w:r>
    </w:p>
    <w:p>
      <w:pPr>
        <w:pStyle w:val="Normal"/>
        <w:widowControl w:val="false"/>
        <w:numPr>
          <w:ilvl w:val="0"/>
          <w:numId w:val="0"/>
        </w:numPr>
        <w:spacing w:lineRule="auto" w:line="276" w:before="120" w:after="120"/>
        <w:ind w:left="0" w:hanging="0"/>
        <w:jc w:val="both"/>
        <w:rPr>
          <w:sz w:val="24"/>
          <w:szCs w:val="24"/>
        </w:rPr>
      </w:pPr>
      <w:r>
        <w:rPr>
          <w:sz w:val="24"/>
          <w:szCs w:val="24"/>
        </w:rPr>
        <w:t xml:space="preserve">3.6  A CREDENCIADA, dentro de suas especificidades, deverá apresentar ao </w:t>
      </w:r>
      <w:r>
        <w:rPr>
          <w:rFonts w:eastAsia="" w:cs="" w:cstheme="minorBidi" w:eastAsiaTheme="minorEastAsia"/>
          <w:color w:val="auto"/>
          <w:kern w:val="0"/>
          <w:sz w:val="24"/>
          <w:szCs w:val="24"/>
          <w:lang w:val="pt-BR" w:eastAsia="pt-BR" w:bidi="ar-SA"/>
        </w:rPr>
        <w:t>NAS</w:t>
      </w:r>
      <w:r>
        <w:rPr>
          <w:sz w:val="24"/>
          <w:szCs w:val="24"/>
        </w:rPr>
        <w:t xml:space="preserve"> sua proposta de trabalho, que deverá conter: </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sz w:val="24"/>
          <w:szCs w:val="24"/>
        </w:rPr>
        <w:tab/>
        <w:t>3.6.1. Oferta de serviços tão diversos quão variados sejam as necessidades específicas dos transtornos motores, deficiências sensoriais, distúrbios comportamentais, deficiências mentais, atrasos globais ou múltiplas deficiências assistidas pela instituição, juntamente com a oferta dos serviços específicos de cada caso;</w:t>
      </w:r>
    </w:p>
    <w:p>
      <w:pPr>
        <w:pStyle w:val="Normal"/>
        <w:widowControl w:val="false"/>
        <w:numPr>
          <w:ilvl w:val="0"/>
          <w:numId w:val="0"/>
        </w:numPr>
        <w:spacing w:lineRule="auto" w:line="276" w:before="120" w:after="120"/>
        <w:ind w:left="0" w:hanging="0"/>
        <w:jc w:val="both"/>
        <w:rPr>
          <w:sz w:val="24"/>
          <w:szCs w:val="24"/>
        </w:rPr>
      </w:pPr>
      <w:r>
        <w:rPr>
          <w:sz w:val="24"/>
          <w:szCs w:val="24"/>
        </w:rPr>
        <w:tab/>
        <w:t xml:space="preserve">3.6.2. Regimes de atendimento: ambulatorial e/ou externato; </w:t>
      </w:r>
    </w:p>
    <w:p>
      <w:pPr>
        <w:pStyle w:val="Normal"/>
        <w:widowControl w:val="false"/>
        <w:numPr>
          <w:ilvl w:val="0"/>
          <w:numId w:val="0"/>
        </w:numPr>
        <w:spacing w:lineRule="auto" w:line="276" w:before="120" w:after="120"/>
        <w:ind w:left="0" w:hanging="0"/>
        <w:jc w:val="both"/>
        <w:rPr>
          <w:sz w:val="24"/>
          <w:szCs w:val="24"/>
        </w:rPr>
      </w:pPr>
      <w:r>
        <w:rPr>
          <w:sz w:val="24"/>
          <w:szCs w:val="24"/>
        </w:rPr>
        <w:tab/>
        <w:t xml:space="preserve">3.6.3. Relação de profissionais, por especialidade, capacitados ao atendimento dos tipos de deficiências que a instituição atende; </w:t>
      </w:r>
    </w:p>
    <w:p>
      <w:pPr>
        <w:pStyle w:val="Normal"/>
        <w:widowControl w:val="false"/>
        <w:numPr>
          <w:ilvl w:val="0"/>
          <w:numId w:val="0"/>
        </w:numPr>
        <w:spacing w:lineRule="auto" w:line="276" w:before="120" w:after="120"/>
        <w:ind w:left="0" w:hanging="0"/>
        <w:jc w:val="both"/>
        <w:rPr>
          <w:sz w:val="24"/>
          <w:szCs w:val="24"/>
        </w:rPr>
      </w:pPr>
      <w:r>
        <w:rPr>
          <w:sz w:val="24"/>
          <w:szCs w:val="24"/>
        </w:rPr>
        <w:tab/>
        <w:t>3.6.4. Detalhamento dos níveis de gravidade das deficiências que atende (casos leves, moderados e/ou graves); e</w:t>
      </w:r>
    </w:p>
    <w:p>
      <w:pPr>
        <w:pStyle w:val="Normal"/>
        <w:widowControl w:val="false"/>
        <w:numPr>
          <w:ilvl w:val="0"/>
          <w:numId w:val="0"/>
        </w:numPr>
        <w:spacing w:lineRule="auto" w:line="276" w:before="120" w:after="120"/>
        <w:ind w:left="0" w:hanging="0"/>
        <w:jc w:val="both"/>
        <w:rPr>
          <w:sz w:val="24"/>
          <w:szCs w:val="24"/>
        </w:rPr>
      </w:pPr>
      <w:r>
        <w:rPr>
          <w:sz w:val="24"/>
          <w:szCs w:val="24"/>
        </w:rPr>
        <w:tab/>
        <w:t xml:space="preserve">3.6.5. Modelo de prontuário adotado, de acordo com o preconizado nos respectivos conselhos das categorias.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3.7  A “</w:t>
      </w:r>
      <w:r>
        <w:rPr>
          <w:rFonts w:cs="Times New Roman"/>
          <w:b/>
          <w:sz w:val="24"/>
          <w:szCs w:val="24"/>
        </w:rPr>
        <w:t>Carta Proposta</w:t>
      </w:r>
      <w:r>
        <w:rPr>
          <w:rFonts w:cs="Times New Roman"/>
          <w:sz w:val="24"/>
          <w:szCs w:val="24"/>
        </w:rPr>
        <w:t>” terá validade de 60 (sessenta) dias, contados da data da entrega, o qual admitirá prorrogação;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3.8  Decorrido o prazo de validade das propostas, sem convocação para contratação, ficam os licitantes liberados dos compromissos assumidos.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3.9  A Empresa Individual de Responsabilidade Limitada – EIRELI – deverá receber tratamento de OCS, dado a sua natureza de pessoa jurídica.</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4   </w:t>
      </w:r>
      <w:r>
        <w:rPr>
          <w:rFonts w:cs="Times New Roman"/>
          <w:b/>
          <w:sz w:val="24"/>
          <w:szCs w:val="24"/>
          <w:u w:val="single"/>
        </w:rPr>
        <w:t>DA HABILITAÇÃO E DAS CONDIÇÕES DE PARTICIPAÇÃO.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4.1  A Comissão ou Agente de Contratação consultará o Sistema de Cadastro Unificado de Fornecedores - SICAF, em relação à habilitação jurídica, à regularidade fiscal e trabalhista, à qualificação econômica financeira e à habilitação técnica, conforme disposto nos arts. 6º e 10 a 16 da Instrução Normativa SEGES/MP nº 3, de 2018, respeitada a documentação complementar prevista </w:t>
      </w:r>
      <w:r>
        <w:rPr>
          <w:rFonts w:eastAsia="" w:cs="Times New Roman" w:eastAsiaTheme="minorEastAsia"/>
          <w:color w:val="auto"/>
          <w:kern w:val="0"/>
          <w:sz w:val="24"/>
          <w:szCs w:val="24"/>
          <w:lang w:val="pt-BR" w:eastAsia="pt-BR" w:bidi="ar-SA"/>
        </w:rPr>
        <w:t>nos demais</w:t>
      </w:r>
      <w:r>
        <w:rPr>
          <w:rFonts w:cs="Times New Roman"/>
          <w:sz w:val="24"/>
          <w:szCs w:val="24"/>
        </w:rPr>
        <w:t xml:space="preserve"> itens desta Seção.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4.1.1 Também poderão ser consultados os sítios oficiais emissores de certidões, especialmente quando o licitante esteja com alguma documentação vencida junto ao SICAF;</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4.1.2 Os interessados cadastrados no SICAF deverão apresentar a documentação listada neste Capítulo, quando ausente do cadastro.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4.2  Caso a Comissão não logre êxito em obter a certidão correspondente através do sítio oficial, ou na hipótese de se encontrar vencida no referido sistema, o interessado será convocado a encaminhar documento válido que comprove o atendimento das exigências deste Edital, sob pena de inabilitação.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4.3  Os interessados que </w:t>
      </w:r>
      <w:r>
        <w:rPr>
          <w:rFonts w:cs="Times New Roman"/>
          <w:b/>
          <w:bCs/>
          <w:sz w:val="24"/>
          <w:szCs w:val="24"/>
        </w:rPr>
        <w:t>não estiverem com sua documentação atualizada no SICAF</w:t>
      </w:r>
      <w:r>
        <w:rPr>
          <w:rFonts w:cs="Times New Roman"/>
          <w:sz w:val="24"/>
          <w:szCs w:val="24"/>
        </w:rPr>
        <w:t xml:space="preserve"> deverão apresentar a seguinte documentação:</w:t>
      </w:r>
    </w:p>
    <w:p>
      <w:pPr>
        <w:pStyle w:val="Normal"/>
        <w:widowControl w:val="false"/>
        <w:numPr>
          <w:ilvl w:val="0"/>
          <w:numId w:val="0"/>
        </w:numPr>
        <w:spacing w:lineRule="auto" w:line="276" w:before="120" w:after="120"/>
        <w:ind w:left="0" w:hanging="0"/>
        <w:jc w:val="both"/>
        <w:rPr>
          <w:sz w:val="24"/>
          <w:szCs w:val="24"/>
        </w:rPr>
      </w:pPr>
      <w:r>
        <w:rPr>
          <w:rFonts w:cs="Times New Roman"/>
          <w:b w:val="false"/>
          <w:bCs w:val="false"/>
          <w:sz w:val="24"/>
          <w:szCs w:val="24"/>
        </w:rPr>
        <w:t xml:space="preserve">4. 4  </w:t>
      </w:r>
      <w:r>
        <w:rPr>
          <w:rFonts w:cs="Times New Roman"/>
          <w:b/>
          <w:bCs/>
          <w:sz w:val="24"/>
          <w:szCs w:val="24"/>
        </w:rPr>
        <w:t>Habilitação</w:t>
      </w:r>
      <w:r>
        <w:rPr>
          <w:rFonts w:cs="Times New Roman"/>
          <w:b/>
          <w:sz w:val="24"/>
          <w:szCs w:val="24"/>
        </w:rPr>
        <w:t xml:space="preserve"> jurídica</w:t>
      </w:r>
      <w:r>
        <w:rPr>
          <w:rFonts w:cs="Times New Roman"/>
          <w:sz w:val="24"/>
          <w:szCs w:val="24"/>
        </w:rPr>
        <w:t>, comprovada mediante a apresentação da seguinte documentação:</w:t>
      </w:r>
    </w:p>
    <w:p>
      <w:pPr>
        <w:pStyle w:val="Normal"/>
        <w:widowControl w:val="false"/>
        <w:numPr>
          <w:ilvl w:val="0"/>
          <w:numId w:val="0"/>
        </w:numPr>
        <w:spacing w:lineRule="auto" w:line="276" w:before="120" w:after="120"/>
        <w:ind w:left="0" w:hanging="0"/>
        <w:jc w:val="both"/>
        <w:rPr>
          <w:sz w:val="24"/>
          <w:szCs w:val="24"/>
        </w:rPr>
      </w:pPr>
      <w:r>
        <w:rPr>
          <w:rFonts w:cs="Times New Roman"/>
          <w:b w:val="false"/>
          <w:bCs w:val="false"/>
          <w:sz w:val="24"/>
          <w:szCs w:val="24"/>
        </w:rPr>
        <w:tab/>
        <w:t xml:space="preserve">4.4.1  </w:t>
      </w:r>
      <w:r>
        <w:rPr>
          <w:rFonts w:cs="Times New Roman"/>
          <w:b/>
          <w:sz w:val="24"/>
          <w:szCs w:val="24"/>
        </w:rPr>
        <w:t>Organização Civil de Saúde (OCS):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4.4.1.1 Cédula de identidade ou outro documento equivalente do(s) representante(s) legal(is);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4.4.1.2 Registro Público de Empresas Mercantis, no caso de empresário individual;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4.4.1.3  Ato constitutivo, estatuto ou contrato social em vigor, com sua última alteração, devidamente registrado e, no caso de sociedades empresárias, acompanhado de documento de eleição de seus administradores ou, se for o caso, procurações que outorguem poderes para terceiros;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4.4.1.4  Inscrição no Registro Público de Empresas Mercantis onde opera, com averbação no Registro onde tem sede a matriz, no caso de ser o participante sucursal, filial ou agência;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4.4.1.5  Inscrição do ato constitutivo no Registro Civil das Pessoas Jurídicas, no caso de sociedades simples, acompanhada de prova de diretoria em exercício;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4.4.1.6  Decreto de autorização, no caso de sociedade estrangeira em funcionamento no país, e ato de registro ou autorização para funcionamento expedido pelo órgão competente, quando a atividade assim o exigir;</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4.4.1.7  Alvará de localização e funcionamento válido;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4.4.1.8  Alvará de autorização sanitária válido;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4.4.1.9  O credenciamento da OCS poderá observar as seguintes situações quanto ao alvará de autorização sanitária: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4.4.1.9.1 Situação: Alvará de autorização sanitária vencido;</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ab/>
        <w:tab/>
        <w:t>4.4.1.9.1.1 Documento a ser apresentado: alvará vencido, acompanhado de requerimento em tempo hábil (prazo estabelecido na legislação municipal específica, ou, em caso de omissão na legislação do Município, 120 dias antes do término de sua vigência) e comprovante da omissão por parte da autoridade de vigilância sanitária.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4.4.1.9.2 Situação: requerimento de renovação a destempo (para além dos 120 dias);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ab/>
        <w:t>4.4.1.9.2.1 Documento a ser apresentado: alvará de autorização sanitária válido ou requerimento a destempo, acompanhado de comprovante da omissão por parte da autoridade de vigilância sanitária.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4.4.1.9.3  Situação: requerimento superveniente a instituição da empresa;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ab/>
        <w:t>4.4.1.9.3.1 Documento a ser apresentado: alvará válido ou requerimento inicial, acompanhado de comprovante da omissão por parte da autoridade de vigilância sanitária.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4.4.1.9.4  Situação: funcionamento decorrente de decreto judicial;</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ab/>
        <w:tab/>
        <w:t>4.4.1.9.4.1 Documento a ser apresentado: decreto judicial válido.</w:t>
      </w:r>
    </w:p>
    <w:p>
      <w:pPr>
        <w:pStyle w:val="Normal"/>
        <w:widowControl w:val="false"/>
        <w:spacing w:lineRule="auto" w:line="276" w:before="120" w:after="120"/>
        <w:ind w:hanging="0"/>
        <w:jc w:val="both"/>
        <w:rPr>
          <w:sz w:val="24"/>
          <w:szCs w:val="24"/>
        </w:rPr>
      </w:pPr>
      <w:r>
        <w:rPr>
          <w:rFonts w:cs="Times New Roman"/>
          <w:sz w:val="24"/>
          <w:szCs w:val="24"/>
        </w:rPr>
        <w:tab/>
        <w:tab/>
        <w:t>4.4.1.10 Procuração com firma reconhecida em cartório para designação de preposto autorizado para assinar/representar a instituição solicitante do credenciamento, se for o caso; e</w:t>
      </w:r>
    </w:p>
    <w:p>
      <w:pPr>
        <w:pStyle w:val="Normal"/>
        <w:widowControl w:val="false"/>
        <w:spacing w:lineRule="auto" w:line="276" w:before="120" w:after="120"/>
        <w:ind w:hanging="0"/>
        <w:jc w:val="both"/>
        <w:rPr>
          <w:sz w:val="24"/>
          <w:szCs w:val="24"/>
        </w:rPr>
      </w:pPr>
      <w:r>
        <w:rPr>
          <w:rFonts w:cs="Times New Roman"/>
          <w:sz w:val="24"/>
          <w:szCs w:val="24"/>
        </w:rPr>
        <w:tab/>
        <w:tab/>
        <w:t xml:space="preserve">4.4.1.11 Declaração designando responsável técnico emitida pelo dirigente da instituição legalmente constituído. </w:t>
      </w:r>
    </w:p>
    <w:p>
      <w:pPr>
        <w:pStyle w:val="Normal"/>
        <w:widowControl w:val="false"/>
        <w:numPr>
          <w:ilvl w:val="0"/>
          <w:numId w:val="0"/>
        </w:numPr>
        <w:tabs>
          <w:tab w:val="clear" w:pos="709"/>
          <w:tab w:val="left" w:pos="0" w:leader="none"/>
        </w:tabs>
        <w:spacing w:lineRule="auto" w:line="276" w:before="120" w:after="120"/>
        <w:ind w:left="0" w:hanging="0"/>
        <w:jc w:val="both"/>
        <w:rPr>
          <w:sz w:val="24"/>
          <w:szCs w:val="24"/>
        </w:rPr>
      </w:pPr>
      <w:r>
        <w:rPr>
          <w:rFonts w:cs="Times New Roman"/>
          <w:sz w:val="24"/>
          <w:szCs w:val="24"/>
        </w:rPr>
        <w:tab/>
        <w:tab/>
        <w:t xml:space="preserve">4.4.1.12 Em caso de </w:t>
      </w:r>
      <w:r>
        <w:rPr>
          <w:rFonts w:cs="Times New Roman"/>
          <w:b/>
          <w:sz w:val="24"/>
          <w:szCs w:val="24"/>
        </w:rPr>
        <w:t>cooperativas</w:t>
      </w:r>
      <w:r>
        <w:rPr>
          <w:rFonts w:cs="Times New Roman"/>
          <w:sz w:val="24"/>
          <w:szCs w:val="24"/>
        </w:rPr>
        <w:t>, conforme o item 10.5, letra ‘g’,  do  Anexo  VII-A, da IN SLTI/MPOG nº 05/2017:</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4.4.1.12.1  Ata de fundação;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4.4.1.12.2 Estatuto Social com a Ata da Assembleia que o aprovou;</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ab/>
        <w:t>4.4.1.12.3 Regimento dos fundos instituídos pelos cooperados, com a Ata da Assembleia que os aprovou;</w:t>
      </w:r>
    </w:p>
    <w:p>
      <w:pPr>
        <w:pStyle w:val="Normal"/>
        <w:widowControl w:val="false"/>
        <w:numPr>
          <w:ilvl w:val="0"/>
          <w:numId w:val="0"/>
        </w:numPr>
        <w:suppressAutoHyphens w:val="true"/>
        <w:bidi w:val="0"/>
        <w:spacing w:lineRule="auto" w:line="276" w:before="120" w:after="120"/>
        <w:ind w:left="0" w:right="0" w:hanging="0"/>
        <w:jc w:val="both"/>
        <w:rPr>
          <w:sz w:val="24"/>
          <w:szCs w:val="24"/>
        </w:rPr>
      </w:pPr>
      <w:r>
        <w:rPr>
          <w:rFonts w:cs="Times New Roman"/>
          <w:sz w:val="24"/>
          <w:szCs w:val="24"/>
        </w:rPr>
        <w:tab/>
        <w:tab/>
        <w:tab/>
        <w:t xml:space="preserve">4.4.1.12.4 Editais de convocação das três últimas Assembleias Gerais extraordinárias;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4.4.1.12.5 Três registros de presença dos cooperados que executarão do Contrato em assembleias gerais ou nas reuniões seccionais; e</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4.4.1.12.6 Ata da sessão que os cooperados autorizaram a cooperativa a contratar o objeto da licitação;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 xml:space="preserve">4.4.1.12.7 O registro </w:t>
      </w:r>
      <w:r>
        <w:rPr>
          <w:rFonts w:cs="Times New Roman"/>
          <w:sz w:val="24"/>
          <w:szCs w:val="24"/>
          <w:shd w:fill="FFFFFF" w:val="clear"/>
        </w:rPr>
        <w:t xml:space="preserve">na Organização das Cooperativas Brasileiras ou na entidade estadual, se houver, mediante apresentação dos estatutos sociais e suas alterações posteriores, nos termos do </w:t>
      </w:r>
      <w:r>
        <w:rPr>
          <w:rFonts w:cs="Times New Roman"/>
          <w:sz w:val="24"/>
          <w:szCs w:val="24"/>
        </w:rPr>
        <w:t>art. 107 da Lei nº 5.764, de 1971.</w:t>
      </w:r>
    </w:p>
    <w:p>
      <w:pPr>
        <w:pStyle w:val="Normal"/>
        <w:widowControl w:val="false"/>
        <w:numPr>
          <w:ilvl w:val="0"/>
          <w:numId w:val="0"/>
        </w:numPr>
        <w:spacing w:lineRule="auto" w:line="276" w:before="120" w:after="120"/>
        <w:ind w:left="0" w:hanging="0"/>
        <w:jc w:val="both"/>
        <w:rPr>
          <w:sz w:val="24"/>
          <w:szCs w:val="24"/>
        </w:rPr>
      </w:pPr>
      <w:r>
        <w:rPr>
          <w:rFonts w:cs="Times New Roman"/>
          <w:b w:val="false"/>
          <w:bCs w:val="false"/>
          <w:sz w:val="24"/>
          <w:szCs w:val="24"/>
        </w:rPr>
        <w:t xml:space="preserve">4.5  </w:t>
      </w:r>
      <w:r>
        <w:rPr>
          <w:rFonts w:cs="Times New Roman"/>
          <w:b/>
          <w:sz w:val="24"/>
          <w:szCs w:val="24"/>
        </w:rPr>
        <w:t>Regularidade Fiscal e Trabalhista:</w:t>
      </w:r>
    </w:p>
    <w:p>
      <w:pPr>
        <w:pStyle w:val="Normal"/>
        <w:widowControl w:val="false"/>
        <w:numPr>
          <w:ilvl w:val="0"/>
          <w:numId w:val="0"/>
        </w:numPr>
        <w:spacing w:lineRule="auto" w:line="276" w:before="120" w:after="120"/>
        <w:ind w:left="0" w:hanging="0"/>
        <w:jc w:val="both"/>
        <w:rPr>
          <w:sz w:val="24"/>
          <w:szCs w:val="24"/>
        </w:rPr>
      </w:pPr>
      <w:r>
        <w:rPr>
          <w:rFonts w:cs="Times New Roman"/>
          <w:b w:val="false"/>
          <w:bCs w:val="false"/>
          <w:sz w:val="24"/>
          <w:szCs w:val="24"/>
        </w:rPr>
        <w:tab/>
        <w:t xml:space="preserve">4.5.1  </w:t>
      </w:r>
      <w:r>
        <w:rPr>
          <w:rFonts w:cs="Times New Roman"/>
          <w:b/>
          <w:sz w:val="24"/>
          <w:szCs w:val="24"/>
        </w:rPr>
        <w:t>Organização Civil de Saúde (OCS):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4.5.1.1  Prova de inscrição no Cadastro Nacional de Pessoa Jurídica (CNPJ);</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4.5.1.2 Prova de regularidade fiscal perante a Fazenda Nacional efetuada mediante apresentação de certidão expedida conjuntamente pela Secretaria da Receita Federal do Brasil (RFB) e pela Procuradoria-Geral da Fazenda Nacional (PGFN), referente a todos os créditos tributários federais e à Dívida Ativa da União (DAU) por elas administrados (Portaria Conjunta PGFN/RFB nº 1.751, de 02 de outubro de 2014 e alteração);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4.5.1.3 Prova de regularidade relativa ao Fundo de Garantia por Tempo de Serviço (FGTS), por meio de apresentação do Certificado de Regularidade do FGTS – CRF, emitido pela Caixa Econômica Federal;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4.5.1.4 Prova de inexistência de débitos inadimplidos perante a Justiça do Trabalho, mediante a apresentação de certidão negativa ou positiva com efeito de negativa, nos termos da Lei Federal nº 12.440, de 2011; e,</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4.5.2 Quando o contrato for executado por filial da empresa, o licitante deverá comprovar a regularidade fiscal da matriz e da filial.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4.5.3 Em caso de </w:t>
      </w:r>
      <w:r>
        <w:rPr>
          <w:rFonts w:cs="Times New Roman"/>
          <w:b/>
          <w:sz w:val="24"/>
          <w:szCs w:val="24"/>
        </w:rPr>
        <w:t>cooperativas</w:t>
      </w:r>
      <w:r>
        <w:rPr>
          <w:rFonts w:cs="Times New Roman"/>
          <w:sz w:val="24"/>
          <w:szCs w:val="24"/>
        </w:rPr>
        <w:t>, conforme o item 10.5, letra ‘b’, do Anexo VII-A, da IN SLTI/MPOG nº 05/2017:</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sz w:val="24"/>
          <w:szCs w:val="24"/>
        </w:rPr>
        <w:tab/>
        <w:tab/>
        <w:t>4.5.3.1 A declaração de regularidade de situação do contribuinte individual (DRSCI) de cada um dos cooperados relacionados.</w:t>
      </w:r>
    </w:p>
    <w:p>
      <w:pPr>
        <w:pStyle w:val="Normal"/>
        <w:widowControl w:val="false"/>
        <w:numPr>
          <w:ilvl w:val="0"/>
          <w:numId w:val="0"/>
        </w:numPr>
        <w:spacing w:lineRule="auto" w:line="276" w:before="120" w:after="120"/>
        <w:ind w:left="0" w:hanging="0"/>
        <w:jc w:val="both"/>
        <w:rPr>
          <w:sz w:val="24"/>
          <w:szCs w:val="24"/>
        </w:rPr>
      </w:pPr>
      <w:r>
        <w:rPr>
          <w:sz w:val="24"/>
          <w:szCs w:val="24"/>
        </w:rPr>
        <w:tab/>
        <w:t>4.5.4 As certidões de comprovação da regularidade fiscal dos licitantes deverão ser apresentadas dentro do prazo de validade estabelecido em lei ou pelo órgão expedidor, ou, na hipótese de ausência de prazo estabelecido, deverão estar datadas dos últimos 180 (cento e oitenta) dias contados da data da abertura da sessão pública.</w:t>
      </w:r>
    </w:p>
    <w:p>
      <w:pPr>
        <w:pStyle w:val="Normal"/>
        <w:widowControl w:val="false"/>
        <w:numPr>
          <w:ilvl w:val="0"/>
          <w:numId w:val="0"/>
        </w:numPr>
        <w:spacing w:lineRule="auto" w:line="276" w:before="120" w:after="120"/>
        <w:ind w:left="0" w:hanging="0"/>
        <w:jc w:val="both"/>
        <w:rPr>
          <w:sz w:val="24"/>
          <w:szCs w:val="24"/>
        </w:rPr>
      </w:pPr>
      <w:r>
        <w:rPr>
          <w:rFonts w:cs="Times New Roman"/>
          <w:b w:val="false"/>
          <w:bCs w:val="false"/>
          <w:sz w:val="24"/>
          <w:szCs w:val="24"/>
        </w:rPr>
        <w:t xml:space="preserve">4.6  </w:t>
      </w:r>
      <w:r>
        <w:rPr>
          <w:rFonts w:cs="Times New Roman"/>
          <w:b/>
          <w:sz w:val="24"/>
          <w:szCs w:val="24"/>
        </w:rPr>
        <w:t>Qualificação técnica:</w:t>
      </w:r>
    </w:p>
    <w:p>
      <w:pPr>
        <w:pStyle w:val="Normal"/>
        <w:widowControl w:val="false"/>
        <w:numPr>
          <w:ilvl w:val="0"/>
          <w:numId w:val="0"/>
        </w:numPr>
        <w:spacing w:lineRule="auto" w:line="276" w:before="120" w:after="120"/>
        <w:ind w:left="0" w:hanging="0"/>
        <w:jc w:val="both"/>
        <w:rPr>
          <w:sz w:val="24"/>
          <w:szCs w:val="24"/>
        </w:rPr>
      </w:pPr>
      <w:r>
        <w:rPr>
          <w:rFonts w:cs="Times New Roman"/>
          <w:b w:val="false"/>
          <w:bCs w:val="false"/>
          <w:sz w:val="24"/>
          <w:szCs w:val="24"/>
        </w:rPr>
        <w:tab/>
        <w:t xml:space="preserve">4.6.1 </w:t>
      </w:r>
      <w:r>
        <w:rPr>
          <w:rFonts w:cs="Times New Roman"/>
          <w:b/>
          <w:sz w:val="24"/>
          <w:szCs w:val="24"/>
        </w:rPr>
        <w:t>Organização Civil de Saúde (OCS):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4.6.1.1 Prova de registro ou inscrição no Conselho de Classe respectivo (obrigatória para médicos (art. 17 da Lei 3.268, de 30/09/1957), odontólogos (art. 13 da Lei 4.324, de 14/04/1964), psicólogos (arts. 10º e 11 da Lei 5.766, de 20/12/1971), nutricionistas (arts. 1º e 2º da Lei 8.234, 17/09/1991), fisioterapeutas e terapeutas ocupacionais (art. 12 da Lei 6.316, 17/12/1975) e fonoaudiólogos (art. 3º da Lei 6.965, 9/12/1981);</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 xml:space="preserve">4.6.1.2  Comprovação de aptidão para desempenho de atividade pertinente e compatível em características, quantidades e prazos com o objeto deste Edital;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 xml:space="preserve">4.6.1.3  Indicação das instalações e do aparelhamento e do pessoal técnico adequado e disponível para a realização do objeto;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 xml:space="preserve">4.6.1.4  Relação de todos os serviços e de todos os regimes de atendimento para o qual a instituição deseja se credenciar conforme tabela constante no Anexo C, do Edital;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4.6.1.5  Inscrição no CNES (Cadastro Nacional de Estabelecimento de Saúde).</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4.6.1.6  Documentação do responsável técnico da OCS:</w:t>
      </w:r>
    </w:p>
    <w:p>
      <w:pPr>
        <w:pStyle w:val="Normal"/>
        <w:widowControl w:val="false"/>
        <w:spacing w:lineRule="auto" w:line="276" w:before="120" w:after="120"/>
        <w:ind w:hanging="0"/>
        <w:jc w:val="both"/>
        <w:rPr>
          <w:sz w:val="24"/>
          <w:szCs w:val="24"/>
        </w:rPr>
      </w:pPr>
      <w:r>
        <w:rPr>
          <w:rFonts w:cs="Times New Roman"/>
          <w:sz w:val="24"/>
          <w:szCs w:val="24"/>
        </w:rPr>
        <w:tab/>
        <w:tab/>
        <w:t>4.6.1.6.1 RG e CPF;</w:t>
      </w:r>
    </w:p>
    <w:p>
      <w:pPr>
        <w:pStyle w:val="Normal"/>
        <w:widowControl w:val="false"/>
        <w:spacing w:lineRule="auto" w:line="276" w:before="120" w:after="120"/>
        <w:ind w:hanging="0"/>
        <w:jc w:val="both"/>
        <w:rPr>
          <w:sz w:val="24"/>
          <w:szCs w:val="24"/>
        </w:rPr>
      </w:pPr>
      <w:r>
        <w:rPr>
          <w:rFonts w:cs="Times New Roman"/>
          <w:sz w:val="24"/>
          <w:szCs w:val="24"/>
        </w:rPr>
        <w:tab/>
        <w:tab/>
        <w:t xml:space="preserve">4.6.1.2.2 </w:t>
      </w:r>
      <w:r>
        <w:rPr>
          <w:rFonts w:eastAsia="" w:cs="Times New Roman" w:eastAsiaTheme="minorEastAsia"/>
          <w:color w:val="auto"/>
          <w:kern w:val="0"/>
          <w:sz w:val="24"/>
          <w:szCs w:val="24"/>
          <w:lang w:val="pt-BR" w:eastAsia="pt-BR" w:bidi="ar-SA"/>
        </w:rPr>
        <w:t>Diploma da E</w:t>
      </w:r>
      <w:r>
        <w:rPr>
          <w:rFonts w:cs="Times New Roman"/>
          <w:sz w:val="24"/>
          <w:szCs w:val="24"/>
        </w:rPr>
        <w:t>specialidade e Registro no Conselho de Classe; e</w:t>
      </w:r>
    </w:p>
    <w:p>
      <w:pPr>
        <w:pStyle w:val="Normal"/>
        <w:widowControl w:val="false"/>
        <w:spacing w:lineRule="auto" w:line="276" w:before="120" w:after="120"/>
        <w:ind w:hanging="0"/>
        <w:jc w:val="both"/>
        <w:rPr>
          <w:sz w:val="24"/>
          <w:szCs w:val="24"/>
        </w:rPr>
      </w:pPr>
      <w:r>
        <w:rPr>
          <w:rFonts w:cs="Times New Roman"/>
          <w:sz w:val="24"/>
          <w:szCs w:val="24"/>
        </w:rPr>
        <w:tab/>
        <w:tab/>
        <w:t xml:space="preserve">4.6.1.2.3 </w:t>
      </w:r>
      <w:r>
        <w:rPr>
          <w:rFonts w:eastAsia="" w:cs="Times New Roman" w:eastAsiaTheme="minorEastAsia"/>
          <w:color w:val="auto"/>
          <w:kern w:val="0"/>
          <w:sz w:val="24"/>
          <w:szCs w:val="24"/>
          <w:lang w:val="pt-BR" w:eastAsia="pt-BR" w:bidi="ar-SA"/>
        </w:rPr>
        <w:t>Curriculum Vitae</w:t>
      </w:r>
      <w:r>
        <w:rPr>
          <w:rFonts w:cs="Times New Roman"/>
          <w:sz w:val="24"/>
          <w:szCs w:val="24"/>
        </w:rPr>
        <w:t>.</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4.6.1.7  Relação de membros do corpo clínico datada e assinada pelo responsável técnico contendo os seguintes dados:</w:t>
      </w:r>
    </w:p>
    <w:p>
      <w:pPr>
        <w:pStyle w:val="Normal"/>
        <w:widowControl w:val="false"/>
        <w:spacing w:lineRule="auto" w:line="276" w:before="120" w:after="120"/>
        <w:ind w:left="2127" w:hanging="0"/>
        <w:jc w:val="both"/>
        <w:rPr>
          <w:sz w:val="24"/>
          <w:szCs w:val="24"/>
        </w:rPr>
      </w:pPr>
      <w:r>
        <w:rPr>
          <w:rFonts w:cs="Times New Roman"/>
          <w:sz w:val="24"/>
          <w:szCs w:val="24"/>
        </w:rPr>
        <w:t>4.6.1.7.1 Nome completo;</w:t>
      </w:r>
    </w:p>
    <w:p>
      <w:pPr>
        <w:pStyle w:val="Normal"/>
        <w:widowControl w:val="false"/>
        <w:spacing w:lineRule="auto" w:line="276" w:before="120" w:after="120"/>
        <w:ind w:left="2127" w:hanging="0"/>
        <w:jc w:val="both"/>
        <w:rPr>
          <w:sz w:val="24"/>
          <w:szCs w:val="24"/>
        </w:rPr>
      </w:pPr>
      <w:r>
        <w:rPr>
          <w:rFonts w:cs="Times New Roman"/>
          <w:sz w:val="24"/>
          <w:szCs w:val="24"/>
        </w:rPr>
        <w:t>4.6.1.7.2 Especialidade clínica;</w:t>
      </w:r>
    </w:p>
    <w:p>
      <w:pPr>
        <w:pStyle w:val="Normal"/>
        <w:widowControl w:val="false"/>
        <w:spacing w:lineRule="auto" w:line="276" w:before="120" w:after="120"/>
        <w:ind w:left="2127" w:hanging="0"/>
        <w:jc w:val="both"/>
        <w:rPr>
          <w:sz w:val="24"/>
          <w:szCs w:val="24"/>
        </w:rPr>
      </w:pPr>
      <w:r>
        <w:rPr>
          <w:rFonts w:cs="Times New Roman"/>
          <w:sz w:val="24"/>
          <w:szCs w:val="24"/>
        </w:rPr>
        <w:t>4.6.1.7.3 Número no registro de classe;</w:t>
      </w:r>
    </w:p>
    <w:p>
      <w:pPr>
        <w:pStyle w:val="Normal"/>
        <w:widowControl w:val="false"/>
        <w:spacing w:lineRule="auto" w:line="276" w:before="120" w:after="120"/>
        <w:ind w:hanging="0"/>
        <w:jc w:val="both"/>
        <w:rPr>
          <w:sz w:val="24"/>
          <w:szCs w:val="24"/>
        </w:rPr>
      </w:pPr>
      <w:r>
        <w:rPr>
          <w:rFonts w:cs="Times New Roman"/>
          <w:sz w:val="24"/>
          <w:szCs w:val="24"/>
        </w:rPr>
        <w:tab/>
        <w:tab/>
        <w:tab/>
        <w:t>4.6.1.7.4 Emissão de Certidão de Regularidade dos respectivos conselhos profissionais de todos os profissionais técnicos cujas profissões já possuem tal regulamentação;</w:t>
      </w:r>
    </w:p>
    <w:p>
      <w:pPr>
        <w:pStyle w:val="Normal"/>
        <w:widowControl w:val="false"/>
        <w:spacing w:lineRule="auto" w:line="276" w:before="120" w:after="120"/>
        <w:ind w:hanging="0"/>
        <w:jc w:val="both"/>
        <w:rPr>
          <w:sz w:val="24"/>
          <w:szCs w:val="24"/>
        </w:rPr>
      </w:pPr>
      <w:r>
        <w:rPr>
          <w:rFonts w:cs="Times New Roman"/>
          <w:sz w:val="24"/>
          <w:szCs w:val="24"/>
        </w:rPr>
        <w:tab/>
        <w:tab/>
        <w:tab/>
        <w:t>4.6.1.7.5 Para os casos onde não houver ainda conselho específico, pede-se a comprovação dos registros conforme tabela abaixo:</w:t>
      </w:r>
    </w:p>
    <w:tbl>
      <w:tblPr>
        <w:tblW w:w="9360" w:type="dxa"/>
        <w:jc w:val="left"/>
        <w:tblInd w:w="-5" w:type="dxa"/>
        <w:tblCellMar>
          <w:top w:w="55" w:type="dxa"/>
          <w:left w:w="55" w:type="dxa"/>
          <w:bottom w:w="55" w:type="dxa"/>
          <w:right w:w="55" w:type="dxa"/>
        </w:tblCellMar>
      </w:tblPr>
      <w:tblGrid>
        <w:gridCol w:w="2208"/>
        <w:gridCol w:w="7151"/>
      </w:tblGrid>
      <w:tr>
        <w:trPr/>
        <w:tc>
          <w:tcPr>
            <w:tcW w:w="2208" w:type="dxa"/>
            <w:tcBorders>
              <w:top w:val="single" w:sz="4" w:space="0" w:color="000000"/>
              <w:left w:val="single" w:sz="4" w:space="0" w:color="000000"/>
              <w:bottom w:val="single" w:sz="4" w:space="0" w:color="000000"/>
            </w:tcBorders>
          </w:tcPr>
          <w:p>
            <w:pPr>
              <w:pStyle w:val="Contedodatabela"/>
              <w:widowControl w:val="false"/>
              <w:spacing w:before="0" w:after="120"/>
              <w:jc w:val="both"/>
              <w:rPr>
                <w:rFonts w:ascii="Calibri" w:hAnsi="Calibri"/>
                <w:sz w:val="24"/>
                <w:szCs w:val="24"/>
              </w:rPr>
            </w:pPr>
            <w:r>
              <w:rPr>
                <w:sz w:val="24"/>
                <w:szCs w:val="24"/>
              </w:rPr>
              <w:t>MUSICOTERAPEUTA</w:t>
            </w:r>
          </w:p>
        </w:tc>
        <w:tc>
          <w:tcPr>
            <w:tcW w:w="7151" w:type="dxa"/>
            <w:tcBorders>
              <w:top w:val="single" w:sz="4" w:space="0" w:color="000000"/>
              <w:left w:val="single" w:sz="4" w:space="0" w:color="000000"/>
              <w:bottom w:val="single" w:sz="4" w:space="0" w:color="000000"/>
              <w:right w:val="single" w:sz="4" w:space="0" w:color="000000"/>
            </w:tcBorders>
          </w:tcPr>
          <w:p>
            <w:pPr>
              <w:pStyle w:val="Padro"/>
              <w:widowControl w:val="false"/>
              <w:tabs>
                <w:tab w:val="clear" w:pos="708"/>
                <w:tab w:val="left" w:pos="0" w:leader="none"/>
              </w:tabs>
              <w:suppressAutoHyphens w:val="true"/>
              <w:snapToGrid w:val="false"/>
              <w:spacing w:lineRule="auto" w:line="240" w:before="0" w:after="0"/>
              <w:ind w:left="0" w:right="0" w:hanging="0"/>
              <w:jc w:val="both"/>
              <w:rPr>
                <w:rFonts w:ascii="Calibri" w:hAnsi="Calibri" w:eastAsia="Times New Roman"/>
                <w:color w:val="00000A"/>
                <w:sz w:val="24"/>
                <w:szCs w:val="24"/>
              </w:rPr>
            </w:pPr>
            <w:r>
              <w:rPr>
                <w:rFonts w:eastAsia="Times New Roman" w:ascii="Calibri" w:hAnsi="Calibri"/>
                <w:color w:val="00000A"/>
                <w:sz w:val="24"/>
                <w:szCs w:val="24"/>
              </w:rPr>
              <w:t xml:space="preserve">CBO: 2263-05 - A Musicoterapia é uma carreira de nível superior - graduação e pós-graduação, e é reconhecida pelo Conselho Federal de Educação desde 1978 através do parecer 829/78. </w:t>
            </w:r>
          </w:p>
        </w:tc>
      </w:tr>
      <w:tr>
        <w:trPr/>
        <w:tc>
          <w:tcPr>
            <w:tcW w:w="2208" w:type="dxa"/>
            <w:tcBorders>
              <w:left w:val="single" w:sz="4" w:space="0" w:color="000000"/>
              <w:bottom w:val="single" w:sz="4" w:space="0" w:color="000000"/>
            </w:tcBorders>
          </w:tcPr>
          <w:p>
            <w:pPr>
              <w:pStyle w:val="Contedodatabela"/>
              <w:widowControl w:val="false"/>
              <w:spacing w:before="0" w:after="120"/>
              <w:jc w:val="both"/>
              <w:rPr>
                <w:rFonts w:ascii="Calibri" w:hAnsi="Calibri"/>
                <w:sz w:val="24"/>
                <w:szCs w:val="24"/>
              </w:rPr>
            </w:pPr>
            <w:r>
              <w:rPr>
                <w:sz w:val="24"/>
                <w:szCs w:val="24"/>
              </w:rPr>
              <w:t>PSICOLOGIA</w:t>
            </w:r>
          </w:p>
        </w:tc>
        <w:tc>
          <w:tcPr>
            <w:tcW w:w="7151" w:type="dxa"/>
            <w:tcBorders>
              <w:left w:val="single" w:sz="4" w:space="0" w:color="000000"/>
              <w:bottom w:val="single" w:sz="4" w:space="0" w:color="000000"/>
              <w:right w:val="single" w:sz="4" w:space="0" w:color="000000"/>
            </w:tcBorders>
          </w:tcPr>
          <w:p>
            <w:pPr>
              <w:pStyle w:val="Padro"/>
              <w:widowControl w:val="false"/>
              <w:tabs>
                <w:tab w:val="clear" w:pos="708"/>
                <w:tab w:val="left" w:pos="0" w:leader="none"/>
              </w:tabs>
              <w:suppressAutoHyphens w:val="true"/>
              <w:snapToGrid w:val="false"/>
              <w:spacing w:lineRule="auto" w:line="240" w:before="0" w:after="0"/>
              <w:ind w:left="0" w:right="0" w:hanging="0"/>
              <w:jc w:val="both"/>
              <w:rPr>
                <w:rFonts w:ascii="Calibri" w:hAnsi="Calibri" w:eastAsia="Times New Roman"/>
                <w:color w:val="00000A"/>
                <w:sz w:val="24"/>
                <w:szCs w:val="24"/>
              </w:rPr>
            </w:pPr>
            <w:r>
              <w:rPr>
                <w:rFonts w:eastAsia="Times New Roman" w:ascii="Calibri" w:hAnsi="Calibri"/>
                <w:color w:val="00000A"/>
                <w:sz w:val="24"/>
                <w:szCs w:val="24"/>
              </w:rPr>
              <w:t>https://cadastro.cfp.org.br/</w:t>
            </w:r>
          </w:p>
        </w:tc>
      </w:tr>
      <w:tr>
        <w:trPr/>
        <w:tc>
          <w:tcPr>
            <w:tcW w:w="2208" w:type="dxa"/>
            <w:tcBorders>
              <w:left w:val="single" w:sz="4" w:space="0" w:color="000000"/>
              <w:bottom w:val="single" w:sz="4" w:space="0" w:color="000000"/>
            </w:tcBorders>
          </w:tcPr>
          <w:p>
            <w:pPr>
              <w:pStyle w:val="Contedodatabela"/>
              <w:widowControl w:val="false"/>
              <w:jc w:val="both"/>
              <w:rPr>
                <w:rFonts w:ascii="Calibri" w:hAnsi="Calibri"/>
                <w:sz w:val="24"/>
                <w:szCs w:val="24"/>
              </w:rPr>
            </w:pPr>
            <w:r>
              <w:rPr>
                <w:sz w:val="24"/>
                <w:szCs w:val="24"/>
              </w:rPr>
            </w:r>
          </w:p>
          <w:p>
            <w:pPr>
              <w:pStyle w:val="Contedodatabela"/>
              <w:widowControl w:val="false"/>
              <w:spacing w:before="0" w:after="120"/>
              <w:jc w:val="both"/>
              <w:rPr>
                <w:rFonts w:ascii="Calibri" w:hAnsi="Calibri"/>
                <w:sz w:val="24"/>
                <w:szCs w:val="24"/>
              </w:rPr>
            </w:pPr>
            <w:r>
              <w:rPr>
                <w:sz w:val="24"/>
                <w:szCs w:val="24"/>
              </w:rPr>
              <w:t>PSICOPEDAGOGIA</w:t>
            </w:r>
          </w:p>
        </w:tc>
        <w:tc>
          <w:tcPr>
            <w:tcW w:w="7151" w:type="dxa"/>
            <w:tcBorders>
              <w:left w:val="single" w:sz="4" w:space="0" w:color="000000"/>
              <w:bottom w:val="single" w:sz="4" w:space="0" w:color="000000"/>
              <w:right w:val="single" w:sz="4" w:space="0" w:color="000000"/>
            </w:tcBorders>
          </w:tcPr>
          <w:p>
            <w:pPr>
              <w:pStyle w:val="Contedodatabela"/>
              <w:widowControl w:val="false"/>
              <w:jc w:val="both"/>
              <w:rPr>
                <w:rFonts w:ascii="Calibri" w:hAnsi="Calibri"/>
                <w:sz w:val="24"/>
                <w:szCs w:val="24"/>
              </w:rPr>
            </w:pPr>
            <w:r>
              <w:rPr>
                <w:sz w:val="24"/>
                <w:szCs w:val="24"/>
              </w:rPr>
              <w:t xml:space="preserve">https://www.abpp.com.br/associadosabppnacional/ </w:t>
            </w:r>
          </w:p>
          <w:p>
            <w:pPr>
              <w:pStyle w:val="Contedodatabela"/>
              <w:widowControl w:val="false"/>
              <w:spacing w:before="0" w:after="120"/>
              <w:jc w:val="both"/>
              <w:rPr>
                <w:rFonts w:ascii="Calibri" w:hAnsi="Calibri"/>
                <w:sz w:val="24"/>
                <w:szCs w:val="24"/>
              </w:rPr>
            </w:pPr>
            <w:r>
              <w:rPr>
                <w:sz w:val="24"/>
                <w:szCs w:val="24"/>
              </w:rPr>
              <w:t>Ou registro na CBO (Classificação Brasileira de Ocupações): 2394-25</w:t>
            </w:r>
          </w:p>
        </w:tc>
      </w:tr>
      <w:tr>
        <w:trPr/>
        <w:tc>
          <w:tcPr>
            <w:tcW w:w="2208" w:type="dxa"/>
            <w:tcBorders>
              <w:left w:val="single" w:sz="4" w:space="0" w:color="000000"/>
              <w:bottom w:val="single" w:sz="4" w:space="0" w:color="000000"/>
            </w:tcBorders>
          </w:tcPr>
          <w:p>
            <w:pPr>
              <w:pStyle w:val="Contedodatabela"/>
              <w:widowControl w:val="false"/>
              <w:spacing w:before="0" w:after="120"/>
              <w:jc w:val="both"/>
              <w:rPr>
                <w:rFonts w:ascii="Calibri" w:hAnsi="Calibri"/>
                <w:sz w:val="24"/>
                <w:szCs w:val="24"/>
              </w:rPr>
            </w:pPr>
            <w:r>
              <w:rPr>
                <w:sz w:val="24"/>
                <w:szCs w:val="24"/>
              </w:rPr>
              <w:t>PSICOMOTRICIDADE</w:t>
            </w:r>
          </w:p>
        </w:tc>
        <w:tc>
          <w:tcPr>
            <w:tcW w:w="7151" w:type="dxa"/>
            <w:tcBorders>
              <w:left w:val="single" w:sz="4" w:space="0" w:color="000000"/>
              <w:bottom w:val="single" w:sz="4" w:space="0" w:color="000000"/>
              <w:right w:val="single" w:sz="4" w:space="0" w:color="000000"/>
            </w:tcBorders>
          </w:tcPr>
          <w:p>
            <w:pPr>
              <w:pStyle w:val="Contedodatabela"/>
              <w:widowControl w:val="false"/>
              <w:jc w:val="both"/>
              <w:rPr>
                <w:rFonts w:ascii="Calibri" w:hAnsi="Calibri"/>
                <w:sz w:val="24"/>
                <w:szCs w:val="24"/>
              </w:rPr>
            </w:pPr>
            <w:r>
              <w:rPr>
                <w:sz w:val="24"/>
                <w:szCs w:val="24"/>
              </w:rPr>
              <w:t xml:space="preserve">CBO (Classificação Brasileira de Ocupações): 2239-15 </w:t>
            </w:r>
          </w:p>
          <w:p>
            <w:pPr>
              <w:pStyle w:val="Contedodatabela"/>
              <w:widowControl w:val="false"/>
              <w:spacing w:before="0" w:after="120"/>
              <w:jc w:val="both"/>
              <w:rPr>
                <w:rFonts w:ascii="Calibri" w:hAnsi="Calibri"/>
                <w:sz w:val="24"/>
                <w:szCs w:val="24"/>
              </w:rPr>
            </w:pPr>
            <w:r>
              <w:rPr>
                <w:sz w:val="24"/>
                <w:szCs w:val="24"/>
              </w:rPr>
              <w:t>Ou registro em conselhos profissionais de saúde e educação.</w:t>
            </w:r>
          </w:p>
        </w:tc>
      </w:tr>
      <w:tr>
        <w:trPr/>
        <w:tc>
          <w:tcPr>
            <w:tcW w:w="2208" w:type="dxa"/>
            <w:tcBorders>
              <w:left w:val="single" w:sz="4" w:space="0" w:color="000000"/>
              <w:bottom w:val="single" w:sz="4" w:space="0" w:color="000000"/>
            </w:tcBorders>
          </w:tcPr>
          <w:p>
            <w:pPr>
              <w:pStyle w:val="Padro"/>
              <w:widowControl w:val="false"/>
              <w:tabs>
                <w:tab w:val="clear" w:pos="708"/>
                <w:tab w:val="left" w:pos="0" w:leader="none"/>
              </w:tabs>
              <w:suppressAutoHyphens w:val="true"/>
              <w:snapToGrid w:val="false"/>
              <w:spacing w:lineRule="auto" w:line="240" w:before="0" w:after="0"/>
              <w:ind w:left="0" w:right="0" w:hanging="0"/>
              <w:jc w:val="center"/>
              <w:rPr>
                <w:rFonts w:ascii="Calibri" w:hAnsi="Calibri" w:eastAsia="Times New Roman"/>
                <w:color w:val="00000A"/>
                <w:sz w:val="24"/>
                <w:szCs w:val="24"/>
              </w:rPr>
            </w:pPr>
            <w:r>
              <w:rPr>
                <w:rFonts w:eastAsia="Times New Roman" w:ascii="Calibri" w:hAnsi="Calibri"/>
                <w:color w:val="00000A"/>
                <w:sz w:val="24"/>
                <w:szCs w:val="24"/>
              </w:rPr>
              <w:t xml:space="preserve">TERAPIA </w:t>
            </w:r>
          </w:p>
          <w:p>
            <w:pPr>
              <w:pStyle w:val="Padro"/>
              <w:widowControl w:val="false"/>
              <w:tabs>
                <w:tab w:val="clear" w:pos="708"/>
                <w:tab w:val="left" w:pos="0" w:leader="none"/>
              </w:tabs>
              <w:suppressAutoHyphens w:val="true"/>
              <w:snapToGrid w:val="false"/>
              <w:spacing w:lineRule="auto" w:line="240" w:before="0" w:after="0"/>
              <w:ind w:left="0" w:right="0" w:hanging="0"/>
              <w:jc w:val="center"/>
              <w:rPr>
                <w:rFonts w:ascii="Calibri" w:hAnsi="Calibri" w:eastAsia="Times New Roman"/>
                <w:color w:val="00000A"/>
                <w:sz w:val="24"/>
                <w:szCs w:val="24"/>
              </w:rPr>
            </w:pPr>
            <w:r>
              <w:rPr>
                <w:rFonts w:eastAsia="Times New Roman" w:ascii="Calibri" w:hAnsi="Calibri"/>
                <w:color w:val="00000A"/>
                <w:sz w:val="24"/>
                <w:szCs w:val="24"/>
              </w:rPr>
              <w:t>OCUPACIONAL</w:t>
            </w:r>
          </w:p>
        </w:tc>
        <w:tc>
          <w:tcPr>
            <w:tcW w:w="7151" w:type="dxa"/>
            <w:tcBorders>
              <w:left w:val="single" w:sz="4" w:space="0" w:color="000000"/>
              <w:bottom w:val="single" w:sz="4" w:space="0" w:color="000000"/>
              <w:right w:val="single" w:sz="4" w:space="0" w:color="000000"/>
            </w:tcBorders>
          </w:tcPr>
          <w:p>
            <w:pPr>
              <w:pStyle w:val="Padro"/>
              <w:widowControl w:val="false"/>
              <w:tabs>
                <w:tab w:val="clear" w:pos="708"/>
                <w:tab w:val="left" w:pos="0" w:leader="none"/>
              </w:tabs>
              <w:suppressAutoHyphens w:val="true"/>
              <w:snapToGrid w:val="false"/>
              <w:spacing w:lineRule="auto" w:line="240" w:before="0" w:after="0"/>
              <w:ind w:left="0" w:right="0" w:hanging="0"/>
              <w:jc w:val="both"/>
              <w:rPr>
                <w:rFonts w:ascii="Calibri" w:hAnsi="Calibri" w:eastAsia="Times New Roman"/>
                <w:color w:val="00000A"/>
                <w:sz w:val="24"/>
                <w:szCs w:val="24"/>
              </w:rPr>
            </w:pPr>
            <w:r>
              <w:rPr>
                <w:rFonts w:eastAsia="Times New Roman" w:ascii="Calibri" w:hAnsi="Calibri"/>
                <w:color w:val="00000A"/>
                <w:sz w:val="24"/>
                <w:szCs w:val="24"/>
              </w:rPr>
              <w:t>https://www.crefito2.com.br/spw/consultacadastral/ TelaConsultaPublicaCompleta.aspx</w:t>
            </w:r>
          </w:p>
        </w:tc>
      </w:tr>
    </w:tbl>
    <w:p>
      <w:pPr>
        <w:pStyle w:val="Normal"/>
        <w:widowControl w:val="false"/>
        <w:spacing w:lineRule="auto" w:line="276" w:before="120" w:after="120"/>
        <w:ind w:hanging="0"/>
        <w:jc w:val="both"/>
        <w:rPr>
          <w:sz w:val="24"/>
          <w:szCs w:val="24"/>
        </w:rPr>
      </w:pPr>
      <w:r>
        <w:rPr>
          <w:sz w:val="24"/>
          <w:szCs w:val="24"/>
        </w:rPr>
        <w:tab/>
        <w:tab/>
        <w:t>4.6.1.8 Para os casos que não se enquadrarem acima, a instituição deverá apresentar:</w:t>
      </w:r>
    </w:p>
    <w:p>
      <w:pPr>
        <w:pStyle w:val="Normal"/>
        <w:widowControl w:val="false"/>
        <w:spacing w:lineRule="auto" w:line="276" w:before="120" w:after="120"/>
        <w:ind w:left="1418" w:hanging="0"/>
        <w:jc w:val="both"/>
        <w:rPr>
          <w:sz w:val="24"/>
          <w:szCs w:val="24"/>
        </w:rPr>
      </w:pPr>
      <w:r>
        <w:rPr>
          <w:sz w:val="24"/>
          <w:szCs w:val="24"/>
        </w:rPr>
        <w:tab/>
        <w:t>4.6.1.8.1 Diploma de formação superior do profissional; e</w:t>
      </w:r>
    </w:p>
    <w:p>
      <w:pPr>
        <w:pStyle w:val="Normal"/>
        <w:widowControl w:val="false"/>
        <w:spacing w:lineRule="auto" w:line="276" w:before="120" w:after="120"/>
        <w:ind w:left="1418" w:hanging="0"/>
        <w:jc w:val="both"/>
        <w:rPr>
          <w:sz w:val="24"/>
          <w:szCs w:val="24"/>
        </w:rPr>
      </w:pPr>
      <w:r>
        <w:rPr>
          <w:sz w:val="24"/>
          <w:szCs w:val="24"/>
        </w:rPr>
        <w:tab/>
        <w:t>4.6.1.8.2 Diploma referente à Especialidade cursada.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 xml:space="preserve">4.6.1.9  Em caso de </w:t>
      </w:r>
      <w:r>
        <w:rPr>
          <w:rFonts w:cs="Times New Roman"/>
          <w:b/>
          <w:sz w:val="24"/>
          <w:szCs w:val="24"/>
        </w:rPr>
        <w:t>cooperativas</w:t>
      </w:r>
      <w:r>
        <w:rPr>
          <w:rFonts w:cs="Times New Roman"/>
          <w:sz w:val="24"/>
          <w:szCs w:val="24"/>
        </w:rPr>
        <w:t>, conforme o item 10.5, letras ‘a’ a ‘f’, do Anexo VII-A, da IN SLTI/MPOG nº 05/2017:</w:t>
      </w:r>
    </w:p>
    <w:p>
      <w:pPr>
        <w:pStyle w:val="Normal"/>
        <w:widowControl w:val="false"/>
        <w:spacing w:lineRule="auto" w:line="276" w:before="120" w:after="120"/>
        <w:ind w:hanging="0"/>
        <w:jc w:val="both"/>
        <w:rPr>
          <w:sz w:val="24"/>
          <w:szCs w:val="24"/>
        </w:rPr>
      </w:pPr>
      <w:r>
        <w:rPr>
          <w:rFonts w:cs="Times New Roman"/>
          <w:sz w:val="24"/>
          <w:szCs w:val="24"/>
        </w:rPr>
        <w:tab/>
        <w:tab/>
        <w:tab/>
        <w:t>4.6.1.9.1 A relação dos cooperados que atendem aos requisitos técnicos exigidos para a contratação e que executarão o contrato, com as respectivas atas de inscrição e a comprovação de que estão domiciliados na localidade da sede da cooperativa, respeitado o disposto no inciso XI, do art. 4º, inciso I, do art. 21 e §§ 2º a 6º do art. 42 da Lei nº 5.764/1971;</w:t>
      </w:r>
    </w:p>
    <w:p>
      <w:pPr>
        <w:pStyle w:val="Normal"/>
        <w:widowControl w:val="false"/>
        <w:numPr>
          <w:ilvl w:val="0"/>
          <w:numId w:val="0"/>
        </w:numPr>
        <w:spacing w:lineRule="auto" w:line="276" w:before="120" w:after="120"/>
        <w:ind w:left="0" w:hanging="0"/>
        <w:jc w:val="both"/>
        <w:rPr>
          <w:b/>
          <w:b/>
          <w:bCs/>
        </w:rPr>
      </w:pPr>
      <w:r>
        <w:rPr>
          <w:rFonts w:cs="Times New Roman"/>
          <w:b w:val="false"/>
          <w:bCs w:val="false"/>
          <w:sz w:val="24"/>
          <w:szCs w:val="24"/>
        </w:rPr>
        <w:t>4.7</w:t>
      </w:r>
      <w:r>
        <w:rPr>
          <w:rFonts w:cs="Times New Roman"/>
          <w:b/>
          <w:bCs/>
          <w:sz w:val="24"/>
          <w:szCs w:val="24"/>
        </w:rPr>
        <w:t xml:space="preserve"> Qualificação Econômico-Financeira </w:t>
      </w:r>
    </w:p>
    <w:p>
      <w:pPr>
        <w:pStyle w:val="Normal"/>
        <w:widowControl w:val="false"/>
        <w:numPr>
          <w:ilvl w:val="0"/>
          <w:numId w:val="0"/>
        </w:numPr>
        <w:spacing w:lineRule="auto" w:line="276" w:before="120" w:after="120"/>
        <w:ind w:left="0" w:hanging="0"/>
        <w:jc w:val="both"/>
        <w:rPr>
          <w:b/>
          <w:b/>
          <w:bCs/>
        </w:rPr>
      </w:pPr>
      <w:r>
        <w:rPr>
          <w:rFonts w:cs="Times New Roman"/>
          <w:b w:val="false"/>
          <w:bCs w:val="false"/>
          <w:sz w:val="24"/>
          <w:szCs w:val="24"/>
        </w:rPr>
        <w:t>4.7.1</w:t>
      </w:r>
      <w:r>
        <w:rPr>
          <w:rFonts w:cs="Times New Roman"/>
          <w:b/>
          <w:bCs/>
          <w:sz w:val="24"/>
          <w:szCs w:val="24"/>
        </w:rPr>
        <w:t xml:space="preserve"> Organização Civil de Saúde (OCS):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4.7.1.1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4.7.1.2 Certidão negativa de falência expedida pelo distribuidor da sede do fornecedor - Lei nº 14.133, de 2021, art. 69, caput, inciso II);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4.7.1.3 Balanço patrimonial, demonstração de resultado de exercício e demais demonstrações contábeis dos 2 (dois) últimos exercícios sociais, comprovando: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 xml:space="preserve">4.7.1.3.1 índices de Liquidez Geral (LG), Liquidez Corrente (LC), e Solvência Geral (SG) superiores a 1 (um);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 xml:space="preserve">4.7.1.3.2 As empresas criadas no exercício financeiro da licitação deverão atender a todas as exigências da habilitação e poderão substituir os demonstrativos contábeis pelo balanço de abertura;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 xml:space="preserve">4.7.1.3.3 Os documentos referidos acima limitar-se-ão ao último exercício no caso de a pessoa jurídica ter sido constituída há menos de 2 (dois) anos; e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4.7.1.3.4 Os documentos referidos acima deverão ser exigidos com base no limite definido pela Receita Federal do Brasil para transmissão da Escrituração Contábil Digital - ECD ao Sped.</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4.7.1.4 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4.7.1.5 As empresas criadas no exercício financeiro da licitação deverão atender a todas as exigências da habilitação e poderão substituir os demonstrativos contábeis pelo balanço de abertura. (Lei nº 14.133, de 2021, art. 65, §1º).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4.8 Verificação, como condição prévia ao exame da documentação de habilitação, quanto ao eventual descumprimento das condições de participação, especialmente, quanto à existência de sanção que impeça a participação no certame ou a futura contratação, mediante a consulta aos seguintes cadastros: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4.8.1 SICAF;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4.8.2 Cadastro Nacional de Empresas Inidôneas e Suspensas - CEIS, mantido pela Controladoria-Geral da União (www.portaldatransparencia.gov.br/ceis);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4.8.3 Cadastro Nacional de Condenações Cíveis por Atos de Improbidade Administrativa, mantido pelo Conselho Nacional de Justiça (www.cnj.jus.br/improbidade_adm/consultar_requerido.php);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4.8.4 Prova de inexistência de inclusão no Cadastro Integrado de Condenações por Ilícitos Administrativos – CADICON (https://contas.tcu.gov.br/certidao/Web/Certidao/NadaConsta/home.faces);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4.8.5 A consulta aos cadastros será realizada em nome da OCS e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 e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 xml:space="preserve">4.8.6 Constatada a existência de sanção, a Comissão reputará o licitante inabilitado, por falta de condição de participação.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4.9 </w:t>
      </w:r>
      <w:r>
        <w:rPr>
          <w:rFonts w:cs="Times New Roman"/>
          <w:sz w:val="24"/>
          <w:szCs w:val="24"/>
          <w:u w:val="single"/>
        </w:rPr>
        <w:t>O julgamento das solicitações de credenciamento</w:t>
      </w:r>
      <w:r>
        <w:rPr>
          <w:rFonts w:cs="Times New Roman"/>
          <w:sz w:val="24"/>
          <w:szCs w:val="24"/>
        </w:rPr>
        <w:t xml:space="preserve"> dos interessados far-se-á, primeiramente, pela análise de toda a documentação apresentada à Comissão Especial de Credenciamento e Descredenciamento do </w:t>
      </w:r>
      <w:r>
        <w:rPr>
          <w:rFonts w:eastAsia="" w:cs="Times New Roman" w:eastAsiaTheme="minorEastAsia"/>
          <w:color w:val="auto"/>
          <w:kern w:val="0"/>
          <w:sz w:val="24"/>
          <w:szCs w:val="24"/>
          <w:lang w:val="pt-BR" w:eastAsia="pt-BR" w:bidi="ar-SA"/>
        </w:rPr>
        <w:t>NAS</w:t>
      </w:r>
      <w:r>
        <w:rPr>
          <w:rFonts w:cs="Times New Roman"/>
          <w:sz w:val="24"/>
          <w:szCs w:val="24"/>
        </w:rPr>
        <w:t xml:space="preserve"> designada. Após verificação documental, será agendada uma visita às instalações das instituições e posterior emissão de parecer favorável ou desfavorável ao credenciamento emitido pelo Grupo de Avaliação e Acompanhamento de Pacientes do Programa de Atendimento Especial (GAAPE), d</w:t>
      </w:r>
      <w:r>
        <w:rPr>
          <w:rFonts w:eastAsia="" w:cs="Times New Roman" w:eastAsiaTheme="minorEastAsia"/>
          <w:color w:val="auto"/>
          <w:kern w:val="0"/>
          <w:sz w:val="24"/>
          <w:szCs w:val="24"/>
          <w:lang w:val="pt-BR" w:eastAsia="pt-BR" w:bidi="ar-SA"/>
        </w:rPr>
        <w:t>o Hospital Naval de Belém</w:t>
      </w:r>
      <w:r>
        <w:rPr>
          <w:rFonts w:cs="Times New Roman"/>
          <w:sz w:val="24"/>
          <w:szCs w:val="24"/>
        </w:rPr>
        <w:t xml:space="preserve">, da Marinha do Brasil, aprovando a capacidade técnica do interessado.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4.10 Considerar-se-ão habilitados os interessados que apresentarem corretamente a documentação exigida e que obtiverem parecer favorável da Comissão Especial de Credenciamento e Descredenciamento do </w:t>
      </w:r>
      <w:r>
        <w:rPr>
          <w:rFonts w:eastAsia="" w:cs="Times New Roman" w:eastAsiaTheme="minorEastAsia"/>
          <w:color w:val="auto"/>
          <w:kern w:val="0"/>
          <w:sz w:val="24"/>
          <w:szCs w:val="24"/>
          <w:lang w:val="pt-BR" w:eastAsia="pt-BR" w:bidi="ar-SA"/>
        </w:rPr>
        <w:t>NAS</w:t>
      </w:r>
      <w:r>
        <w:rPr>
          <w:rFonts w:cs="Times New Roman"/>
          <w:sz w:val="24"/>
          <w:szCs w:val="24"/>
        </w:rPr>
        <w:t xml:space="preserve"> e do Grupo de Avaliação e Acompanhamento de Pacientes do Programa de Atendimento Especial (GAAPE), do Hospital Naval de Belém (HNBE), da Marinha do Brasil.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4.11 Os interessados que preencherem os requisitos acima, no que lhes for aplicável, serão considerados aptos para o credenciamento.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4.12 O CREDENCIANTE poderá, até a assinatura do contrato, inabilitar a Organização Civil de Saúde, por despacho fundamentado, se tiver informação abalizada de qualquer fato ou circunstância, anterior ou posterior à fase de habilitação, que desabone a qualificação técnica, habilitação jurídica ou regularidade fiscal daquela entidade ou prestador de serviço. </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5   </w:t>
      </w:r>
      <w:r>
        <w:rPr>
          <w:rFonts w:cs="Times New Roman"/>
          <w:b/>
          <w:sz w:val="24"/>
          <w:szCs w:val="24"/>
          <w:u w:val="single"/>
        </w:rPr>
        <w:t>DOS RECURSOS FINANCEIROS.</w:t>
      </w:r>
    </w:p>
    <w:p>
      <w:pPr>
        <w:pStyle w:val="Normal"/>
        <w:widowControl w:val="false"/>
        <w:numPr>
          <w:ilvl w:val="0"/>
          <w:numId w:val="0"/>
        </w:numPr>
        <w:spacing w:lineRule="auto" w:line="276" w:before="120" w:after="120"/>
        <w:ind w:left="0" w:hanging="0"/>
        <w:jc w:val="both"/>
        <w:rPr>
          <w:color w:val="000000"/>
          <w:sz w:val="24"/>
          <w:szCs w:val="24"/>
        </w:rPr>
      </w:pPr>
      <w:r>
        <w:rPr>
          <w:rFonts w:cs="Times New Roman"/>
          <w:color w:val="000000"/>
          <w:sz w:val="24"/>
          <w:szCs w:val="24"/>
        </w:rPr>
        <w:t>5.1  Os recursos previstos para os pagamentos dos atendimentos decorrentes deste Edital serão os seguintes:</w:t>
      </w:r>
    </w:p>
    <w:p>
      <w:pPr>
        <w:pStyle w:val="Normal"/>
        <w:widowControl w:val="false"/>
        <w:numPr>
          <w:ilvl w:val="0"/>
          <w:numId w:val="0"/>
        </w:numPr>
        <w:spacing w:lineRule="auto" w:line="240" w:before="120" w:after="120"/>
        <w:ind w:left="1418" w:hanging="0"/>
        <w:jc w:val="both"/>
        <w:rPr>
          <w:color w:val="000000"/>
          <w:sz w:val="24"/>
          <w:szCs w:val="24"/>
        </w:rPr>
      </w:pPr>
      <w:r>
        <w:rPr>
          <w:rFonts w:cs="Times New Roman"/>
          <w:color w:val="000000"/>
          <w:sz w:val="24"/>
          <w:szCs w:val="24"/>
          <w:shd w:fill="auto" w:val="clear"/>
        </w:rPr>
        <w:t>Gestão / Unidade: 84000</w:t>
      </w:r>
    </w:p>
    <w:p>
      <w:pPr>
        <w:pStyle w:val="Normal"/>
        <w:widowControl w:val="false"/>
        <w:numPr>
          <w:ilvl w:val="0"/>
          <w:numId w:val="0"/>
        </w:numPr>
        <w:spacing w:lineRule="auto" w:line="240" w:before="120" w:after="120"/>
        <w:ind w:left="1418" w:hanging="0"/>
        <w:jc w:val="both"/>
        <w:rPr>
          <w:color w:val="000000"/>
          <w:sz w:val="24"/>
          <w:szCs w:val="24"/>
        </w:rPr>
      </w:pPr>
      <w:r>
        <w:rPr>
          <w:rFonts w:eastAsia="" w:cs="Times New Roman"/>
          <w:color w:val="000000"/>
          <w:kern w:val="0"/>
          <w:sz w:val="24"/>
          <w:szCs w:val="24"/>
          <w:shd w:fill="auto" w:val="clear"/>
          <w:lang w:val="pt-BR" w:eastAsia="pt-BR" w:bidi="ar-SA"/>
        </w:rPr>
        <w:t>Plano</w:t>
      </w:r>
      <w:r>
        <w:rPr>
          <w:rFonts w:cs="Times New Roman"/>
          <w:color w:val="000000"/>
          <w:sz w:val="24"/>
          <w:szCs w:val="24"/>
          <w:shd w:fill="auto" w:val="clear"/>
        </w:rPr>
        <w:t xml:space="preserve"> Interno: B.40301102F1</w:t>
      </w:r>
    </w:p>
    <w:p>
      <w:pPr>
        <w:pStyle w:val="Normal"/>
        <w:widowControl w:val="false"/>
        <w:numPr>
          <w:ilvl w:val="0"/>
          <w:numId w:val="0"/>
        </w:numPr>
        <w:spacing w:lineRule="auto" w:line="276" w:before="120" w:after="120"/>
        <w:ind w:left="1418" w:hanging="0"/>
        <w:jc w:val="both"/>
        <w:rPr>
          <w:color w:val="000000"/>
          <w:sz w:val="24"/>
          <w:szCs w:val="24"/>
        </w:rPr>
      </w:pPr>
      <w:r>
        <w:rPr>
          <w:rFonts w:cs="Times New Roman"/>
          <w:color w:val="000000"/>
          <w:sz w:val="24"/>
          <w:szCs w:val="24"/>
          <w:shd w:fill="auto" w:val="clear"/>
        </w:rPr>
        <w:t>Natureza de Despesa 339039</w:t>
      </w:r>
    </w:p>
    <w:p>
      <w:pPr>
        <w:pStyle w:val="Normal"/>
        <w:widowControl w:val="false"/>
        <w:numPr>
          <w:ilvl w:val="0"/>
          <w:numId w:val="0"/>
        </w:numPr>
        <w:spacing w:lineRule="auto" w:line="276" w:before="120" w:after="120"/>
        <w:ind w:left="0" w:hanging="0"/>
        <w:jc w:val="both"/>
        <w:rPr>
          <w:sz w:val="24"/>
          <w:szCs w:val="24"/>
        </w:rPr>
      </w:pPr>
      <w:r>
        <w:rPr>
          <w:rFonts w:cs="Times New Roman"/>
          <w:b/>
          <w:bCs/>
          <w:sz w:val="24"/>
          <w:szCs w:val="24"/>
          <w:u w:val="none"/>
        </w:rPr>
        <w:t xml:space="preserve">6   </w:t>
      </w:r>
      <w:r>
        <w:rPr>
          <w:rFonts w:cs="Times New Roman"/>
          <w:b/>
          <w:bCs/>
          <w:sz w:val="24"/>
          <w:szCs w:val="24"/>
          <w:u w:val="single"/>
        </w:rPr>
        <w:t xml:space="preserve">DO CONTRATO E </w:t>
      </w:r>
      <w:r>
        <w:rPr>
          <w:rFonts w:cs="Times New Roman"/>
          <w:b/>
          <w:sz w:val="24"/>
          <w:szCs w:val="24"/>
          <w:u w:val="single"/>
        </w:rPr>
        <w:t xml:space="preserve">SUAS </w:t>
      </w:r>
      <w:r>
        <w:rPr>
          <w:rFonts w:cs="Times New Roman"/>
          <w:b/>
          <w:bCs/>
          <w:sz w:val="24"/>
          <w:szCs w:val="24"/>
          <w:u w:val="single"/>
        </w:rPr>
        <w:t>ALTERAÇÕES</w:t>
      </w:r>
      <w:r>
        <w:rPr>
          <w:rFonts w:cs="Times New Roman"/>
          <w:b/>
          <w:sz w:val="24"/>
          <w:szCs w:val="24"/>
          <w:u w:val="single"/>
        </w:rPr>
        <w:t>.</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6.1  O credenciamento será formalizado por intermédio de instrumento contratual, presentes as cláusulas obrigatórias estabelecidas pelo art. 92 da Lei 14.133, de 2021.</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6.2  Os habilitados serão convocados no prazo máximo de </w:t>
      </w:r>
      <w:r>
        <w:rPr>
          <w:rFonts w:eastAsia="" w:cs="Times New Roman" w:eastAsiaTheme="minorEastAsia"/>
          <w:color w:val="000000"/>
          <w:kern w:val="0"/>
          <w:sz w:val="24"/>
          <w:szCs w:val="24"/>
          <w:shd w:fill="auto" w:val="clear"/>
          <w:lang w:val="pt-BR" w:eastAsia="pt-BR" w:bidi="ar-SA"/>
        </w:rPr>
        <w:t>30 (trinta)</w:t>
      </w:r>
      <w:r>
        <w:rPr>
          <w:rFonts w:eastAsia="" w:cs="Times New Roman" w:eastAsiaTheme="minorEastAsia"/>
          <w:sz w:val="24"/>
          <w:szCs w:val="24"/>
          <w:shd w:fill="auto" w:val="clear"/>
        </w:rPr>
        <w:t xml:space="preserve"> dias</w:t>
      </w:r>
      <w:r>
        <w:rPr>
          <w:rFonts w:cs="Times New Roman"/>
          <w:sz w:val="24"/>
          <w:szCs w:val="24"/>
        </w:rPr>
        <w:t xml:space="preserve">, contados da data de apresentação das Cartas-Proposta, para assinarem os respectivos contratos, em obediência às prescrições do art. 90 da Lei nº 14.133, de 2021, </w:t>
      </w:r>
      <w:r>
        <w:rPr>
          <w:rFonts w:eastAsia="" w:cs="Times New Roman" w:eastAsiaTheme="minorEastAsia"/>
          <w:sz w:val="24"/>
          <w:szCs w:val="24"/>
          <w:shd w:fill="auto" w:val="clear"/>
        </w:rPr>
        <w:t>podendo ser prorrogado uma vez, por igual período, quando solicitado pela parte, durante seu transcurso e desde que ocorra motivo justificado aceito pela Administração Pública Federal.</w:t>
      </w:r>
    </w:p>
    <w:p>
      <w:pPr>
        <w:pStyle w:val="Normal"/>
        <w:widowControl w:val="false"/>
        <w:numPr>
          <w:ilvl w:val="0"/>
          <w:numId w:val="0"/>
        </w:numPr>
        <w:spacing w:lineRule="auto" w:line="276" w:before="120" w:after="120"/>
        <w:ind w:left="0" w:hanging="0"/>
        <w:jc w:val="both"/>
        <w:rPr>
          <w:sz w:val="24"/>
          <w:szCs w:val="24"/>
        </w:rPr>
      </w:pPr>
      <w:r>
        <w:rPr>
          <w:rFonts w:cs="Times New Roman"/>
          <w:color w:val="000000"/>
          <w:sz w:val="24"/>
          <w:szCs w:val="24"/>
        </w:rPr>
        <w:t xml:space="preserve">6.3  Os contratos celebrados a partir do presente Edital terão sua </w:t>
      </w:r>
      <w:r>
        <w:rPr>
          <w:rFonts w:cs="Times New Roman"/>
          <w:b/>
          <w:color w:val="000000"/>
          <w:sz w:val="24"/>
          <w:szCs w:val="24"/>
        </w:rPr>
        <w:t>vigência limitada em 0</w:t>
      </w:r>
      <w:r>
        <w:rPr>
          <w:rFonts w:eastAsia="" w:cs="Times New Roman"/>
          <w:b/>
          <w:color w:val="000000"/>
          <w:kern w:val="0"/>
          <w:sz w:val="24"/>
          <w:szCs w:val="24"/>
          <w:lang w:val="pt-BR" w:eastAsia="pt-BR" w:bidi="ar-SA"/>
        </w:rPr>
        <w:t>5 anos</w:t>
      </w:r>
      <w:r>
        <w:rPr>
          <w:rFonts w:cs="Times New Roman"/>
          <w:b/>
          <w:color w:val="000000"/>
          <w:sz w:val="24"/>
          <w:szCs w:val="24"/>
        </w:rPr>
        <w:t xml:space="preserve"> </w:t>
      </w:r>
      <w:r>
        <w:rPr>
          <w:rFonts w:cs="Times New Roman"/>
          <w:b w:val="false"/>
          <w:bCs w:val="false"/>
          <w:color w:val="000000"/>
          <w:sz w:val="24"/>
          <w:szCs w:val="24"/>
        </w:rPr>
        <w:t>de sua assinatura,</w:t>
      </w:r>
      <w:r>
        <w:rPr>
          <w:rFonts w:cs="Times New Roman"/>
          <w:color w:val="000000"/>
          <w:sz w:val="24"/>
          <w:szCs w:val="24"/>
        </w:rPr>
        <w:t xml:space="preserve"> </w:t>
      </w:r>
      <w:r>
        <w:rPr>
          <w:rFonts w:eastAsia="" w:cs="Times New Roman"/>
          <w:color w:val="000000"/>
          <w:kern w:val="0"/>
          <w:sz w:val="24"/>
          <w:szCs w:val="24"/>
          <w:lang w:val="pt-BR" w:eastAsia="pt-BR" w:bidi="ar-SA"/>
        </w:rPr>
        <w:t>podendo ser</w:t>
      </w:r>
      <w:r>
        <w:rPr>
          <w:rFonts w:cs="Times New Roman"/>
          <w:color w:val="000000"/>
          <w:sz w:val="24"/>
          <w:szCs w:val="24"/>
        </w:rPr>
        <w:t xml:space="preserve"> prorrogados sucessivamente, respeitada a vigência máxima decenal, na forma do art. 107 da Lei nº 14.133, de 2021. Após tal prazo deverá ser providenciado novo instrumento contratual.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6.4  Os contratos poderão ser alterados, com a devida motivação, nos casos previstos no art. 124 da Lei nº 14.133, de 2021.</w:t>
      </w:r>
    </w:p>
    <w:p>
      <w:pPr>
        <w:pStyle w:val="Normal"/>
        <w:widowControl w:val="false"/>
        <w:spacing w:lineRule="auto" w:line="276" w:before="120" w:after="120"/>
        <w:ind w:left="0" w:hanging="0"/>
        <w:jc w:val="both"/>
        <w:rPr>
          <w:sz w:val="24"/>
          <w:szCs w:val="24"/>
        </w:rPr>
      </w:pPr>
      <w:r>
        <w:rPr>
          <w:rFonts w:cs="Times New Roman"/>
          <w:sz w:val="24"/>
          <w:szCs w:val="24"/>
        </w:rPr>
        <w:t>6.5  O Contrato a ser assinado versará tão somente sobre o serviço na área para a qual tenha sido credenciado o habilitado.</w:t>
      </w:r>
    </w:p>
    <w:p>
      <w:pPr>
        <w:pStyle w:val="Normal"/>
        <w:widowControl w:val="false"/>
        <w:spacing w:lineRule="auto" w:line="276" w:before="120" w:after="120"/>
        <w:ind w:left="0" w:hanging="0"/>
        <w:jc w:val="both"/>
        <w:rPr>
          <w:sz w:val="24"/>
          <w:szCs w:val="24"/>
        </w:rPr>
      </w:pPr>
      <w:r>
        <w:rPr>
          <w:rFonts w:cs="Times New Roman"/>
          <w:sz w:val="24"/>
          <w:szCs w:val="24"/>
        </w:rPr>
        <w:t xml:space="preserve">6.6 Os empregados da CREDENCIADA, quando pessoa jurídica, não terão nenhum vínculo empregatício com o </w:t>
      </w:r>
      <w:r>
        <w:rPr>
          <w:rFonts w:eastAsia="" w:cs="Times New Roman" w:eastAsiaTheme="minorEastAsia"/>
          <w:color w:val="auto"/>
          <w:kern w:val="0"/>
          <w:sz w:val="24"/>
          <w:szCs w:val="24"/>
          <w:lang w:val="pt-BR" w:eastAsia="pt-BR" w:bidi="ar-SA"/>
        </w:rPr>
        <w:t>Comando do 4° Distrito Naval</w:t>
      </w:r>
      <w:r>
        <w:rPr>
          <w:rFonts w:cs="Times New Roman"/>
          <w:sz w:val="24"/>
          <w:szCs w:val="24"/>
        </w:rPr>
        <w:t>, sendo de exclusiva responsabilidade daqueles as despesas com seguros de natureza trabalhista vigentes e quaisquer outros encargos que forem devidos, referentes aos serviços e empregados.</w:t>
      </w:r>
    </w:p>
    <w:p>
      <w:pPr>
        <w:pStyle w:val="Normal"/>
        <w:widowControl w:val="false"/>
        <w:spacing w:lineRule="auto" w:line="276" w:before="120" w:after="120"/>
        <w:ind w:left="0" w:hanging="0"/>
        <w:jc w:val="both"/>
        <w:rPr>
          <w:sz w:val="24"/>
          <w:szCs w:val="24"/>
        </w:rPr>
      </w:pPr>
      <w:r>
        <w:rPr>
          <w:rFonts w:cs="Times New Roman"/>
          <w:sz w:val="24"/>
          <w:szCs w:val="24"/>
        </w:rPr>
        <w:t xml:space="preserve">6.7 O eventual inadimplemento pela CREDENCIADA dos encargos previstos no item anterior não transfere ao </w:t>
      </w:r>
      <w:r>
        <w:rPr>
          <w:rFonts w:eastAsia="" w:cs="Times New Roman" w:eastAsiaTheme="minorEastAsia"/>
          <w:color w:val="auto"/>
          <w:kern w:val="0"/>
          <w:sz w:val="24"/>
          <w:szCs w:val="24"/>
          <w:lang w:val="pt-BR" w:eastAsia="pt-BR" w:bidi="ar-SA"/>
        </w:rPr>
        <w:t>Comando do 4° Distrito Naval</w:t>
      </w:r>
      <w:r>
        <w:rPr>
          <w:rFonts w:cs="Times New Roman"/>
          <w:sz w:val="24"/>
          <w:szCs w:val="24"/>
        </w:rPr>
        <w:t xml:space="preserve"> a responsabilidade pelo seu pagamento e nem poderá onerar o objeto do Contrato.</w:t>
      </w:r>
    </w:p>
    <w:p>
      <w:pPr>
        <w:pStyle w:val="Normal"/>
        <w:widowControl w:val="false"/>
        <w:spacing w:lineRule="auto" w:line="276" w:before="120" w:after="120"/>
        <w:ind w:left="0" w:hanging="0"/>
        <w:jc w:val="both"/>
        <w:rPr>
          <w:sz w:val="24"/>
          <w:szCs w:val="24"/>
        </w:rPr>
      </w:pPr>
      <w:r>
        <w:rPr>
          <w:rFonts w:cs="Times New Roman"/>
          <w:sz w:val="24"/>
          <w:szCs w:val="24"/>
        </w:rPr>
        <w:t xml:space="preserve">6.8 O </w:t>
      </w:r>
      <w:r>
        <w:rPr>
          <w:rFonts w:eastAsia="" w:cs="Times New Roman" w:eastAsiaTheme="minorEastAsia"/>
          <w:color w:val="auto"/>
          <w:kern w:val="0"/>
          <w:sz w:val="24"/>
          <w:szCs w:val="24"/>
          <w:lang w:val="pt-BR" w:eastAsia="pt-BR" w:bidi="ar-SA"/>
        </w:rPr>
        <w:t>Comando do 4° Distrito Naval</w:t>
      </w:r>
      <w:r>
        <w:rPr>
          <w:rFonts w:cs="Times New Roman"/>
          <w:sz w:val="24"/>
          <w:szCs w:val="24"/>
        </w:rPr>
        <w:t xml:space="preserve"> poderá, a qualquer tempo, rever e alterar a forma e a abrangência previstas no Contrato, ampliando ou limitando os serviços de assistência especializada prestados pelos CREDENCIADOS às pessoas com deficiências, de acordo com sua necessidade e disponibilidade orçamentária. </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6.9  Incumbirá </w:t>
      </w:r>
      <w:r>
        <w:rPr>
          <w:rFonts w:eastAsia="Arial Unicode MS" w:cs="Times New Roman"/>
          <w:sz w:val="24"/>
          <w:szCs w:val="24"/>
        </w:rPr>
        <w:t>à CREDENCIANTE providenciar a publicação do ato que autoriza a Inexigibilidade de Licitação no Portal Nacional de Contratações Públicas - PNCP, bem como do contrato e seus aditamentos no prazo de 10 (dez) dias contados da data de sua assinatura, conforme previsto no art. 72 parágrafo único e no art. 94, II da Lei nº 14.133, de 2021.</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7   </w:t>
      </w:r>
      <w:r>
        <w:rPr>
          <w:rFonts w:cs="Times New Roman"/>
          <w:b/>
          <w:sz w:val="24"/>
          <w:szCs w:val="24"/>
          <w:u w:val="single"/>
        </w:rPr>
        <w:t>DO REGIME DE EXECUÇÃO.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7.1  As condições de execução dos serviços constam dos contratos, observadas as regras gerais abaixo registradas, que também estão inseridas no Anexo A – Projeto Básico e todos os seus Apêndices.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7.2 </w:t>
      </w:r>
      <w:r>
        <w:rPr>
          <w:rFonts w:cs="Times New Roman"/>
          <w:b/>
          <w:bCs/>
          <w:sz w:val="24"/>
          <w:szCs w:val="24"/>
          <w:u w:val="none"/>
        </w:rPr>
        <w:t>DO FLUXOGRAMA DE ENTRADA NO PAE</w:t>
      </w:r>
      <w:r>
        <w:rPr>
          <w:rFonts w:cs="Times New Roman"/>
          <w:sz w:val="24"/>
          <w:szCs w:val="24"/>
          <w:u w:val="none"/>
        </w:rPr>
        <w:t>:</w:t>
      </w:r>
      <w:r>
        <w:rPr>
          <w:rFonts w:cs="Times New Roman"/>
          <w:sz w:val="24"/>
          <w:szCs w:val="24"/>
        </w:rPr>
        <w:t xml:space="preserve"> As famílias elegíveis para o PAE deverão procurar diretamente o Grupo de Avaliação e Acompanhamento de Pacientes do Programa de Atendimento Especial – Programa de Atendimento Especial (GAAPE), </w:t>
      </w:r>
      <w:r>
        <w:rPr>
          <w:rFonts w:eastAsia="" w:cs="Times New Roman" w:eastAsiaTheme="minorEastAsia"/>
          <w:color w:val="auto"/>
          <w:kern w:val="0"/>
          <w:sz w:val="24"/>
          <w:szCs w:val="24"/>
          <w:lang w:val="pt-BR" w:eastAsia="pt-BR" w:bidi="ar-SA"/>
        </w:rPr>
        <w:t>no HNBE</w:t>
      </w:r>
      <w:r>
        <w:rPr>
          <w:rFonts w:cs="Times New Roman"/>
          <w:sz w:val="24"/>
          <w:szCs w:val="24"/>
        </w:rPr>
        <w:t xml:space="preserve">, para agendamento de avaliação inicial de seu(sua) filho(a). Após a avaliação, a Folha de Avaliação (FA), conforme Apêndice II, será enviada ao </w:t>
      </w:r>
      <w:r>
        <w:rPr>
          <w:rFonts w:eastAsia="" w:cs="Times New Roman" w:eastAsiaTheme="minorEastAsia"/>
          <w:color w:val="auto"/>
          <w:kern w:val="0"/>
          <w:sz w:val="24"/>
          <w:szCs w:val="24"/>
          <w:lang w:val="pt-BR" w:eastAsia="pt-BR" w:bidi="ar-SA"/>
        </w:rPr>
        <w:t>NAS</w:t>
      </w:r>
      <w:r>
        <w:rPr>
          <w:rFonts w:cs="Times New Roman"/>
          <w:sz w:val="24"/>
          <w:szCs w:val="24"/>
        </w:rPr>
        <w:t xml:space="preserve"> apresentando o(a) novo(a) usuário(a). Após a recepção da FA, o </w:t>
      </w:r>
      <w:r>
        <w:rPr>
          <w:rFonts w:eastAsia="" w:cs="Times New Roman" w:eastAsiaTheme="minorEastAsia"/>
          <w:color w:val="auto"/>
          <w:kern w:val="0"/>
          <w:sz w:val="24"/>
          <w:szCs w:val="24"/>
          <w:lang w:val="pt-BR" w:eastAsia="pt-BR" w:bidi="ar-SA"/>
        </w:rPr>
        <w:t>NAS</w:t>
      </w:r>
      <w:r>
        <w:rPr>
          <w:rFonts w:cs="Times New Roman"/>
          <w:sz w:val="24"/>
          <w:szCs w:val="24"/>
        </w:rPr>
        <w:t xml:space="preserve"> verificará a dependência do usuário e os dados dos responsáveis, incluindo o vínculo com a MB, especialmente nos casos de militares temporários. Após essa conferência, o </w:t>
      </w:r>
      <w:r>
        <w:rPr>
          <w:rFonts w:eastAsia="" w:cs="Times New Roman" w:eastAsiaTheme="minorEastAsia"/>
          <w:color w:val="auto"/>
          <w:kern w:val="0"/>
          <w:sz w:val="24"/>
          <w:szCs w:val="24"/>
          <w:lang w:val="pt-BR" w:eastAsia="pt-BR" w:bidi="ar-SA"/>
        </w:rPr>
        <w:t>NAS</w:t>
      </w:r>
      <w:r>
        <w:rPr>
          <w:rFonts w:cs="Times New Roman"/>
          <w:sz w:val="24"/>
          <w:szCs w:val="24"/>
        </w:rPr>
        <w:t xml:space="preserve"> agendará uma reunião com a família para apresentação do Programa, os direitos e deveres das famílias, inclusos os deveres junto às clínicas. </w:t>
      </w:r>
    </w:p>
    <w:p>
      <w:pPr>
        <w:pStyle w:val="Padro"/>
        <w:widowControl w:val="false"/>
        <w:tabs>
          <w:tab w:val="clear" w:pos="708"/>
          <w:tab w:val="left" w:pos="0" w:leader="none"/>
        </w:tabs>
        <w:suppressAutoHyphens w:val="true"/>
        <w:snapToGrid w:val="false"/>
        <w:spacing w:lineRule="auto" w:line="276" w:before="0" w:after="0"/>
        <w:ind w:left="0" w:right="0" w:hanging="0"/>
        <w:jc w:val="both"/>
        <w:rPr>
          <w:rFonts w:ascii="Calibri" w:hAnsi="Calibri" w:eastAsia="Times New Roman"/>
          <w:color w:val="00000A"/>
          <w:szCs w:val="24"/>
          <w:u w:val="single"/>
        </w:rPr>
      </w:pPr>
      <w:r>
        <w:rPr>
          <w:rFonts w:eastAsia="Times New Roman" w:cs="Times New Roman" w:ascii="Calibri" w:hAnsi="Calibri"/>
          <w:color w:val="00000A"/>
          <w:sz w:val="24"/>
          <w:szCs w:val="24"/>
          <w:u w:val="none"/>
        </w:rPr>
        <w:t xml:space="preserve">7.3 </w:t>
      </w:r>
      <w:r>
        <w:rPr>
          <w:rFonts w:eastAsia="Times New Roman" w:cs="Times New Roman" w:ascii="Calibri" w:hAnsi="Calibri"/>
          <w:b/>
          <w:bCs/>
          <w:color w:val="00000A"/>
          <w:sz w:val="24"/>
          <w:szCs w:val="24"/>
          <w:u w:val="none"/>
        </w:rPr>
        <w:t>DO ENCAMINHAMENTO DOS USUÁRIOS</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sz w:val="24"/>
          <w:szCs w:val="24"/>
        </w:rPr>
      </w:pPr>
      <w:r>
        <w:rPr>
          <w:rFonts w:eastAsia="Times New Roman" w:cs="Times New Roman" w:ascii="Calibri" w:hAnsi="Calibri"/>
          <w:color w:val="00000A"/>
          <w:sz w:val="24"/>
          <w:szCs w:val="24"/>
        </w:rPr>
        <w:tab/>
        <w:t xml:space="preserve">7.3.1 </w:t>
      </w:r>
      <w:r>
        <w:rPr>
          <w:rFonts w:eastAsia="Times New Roman" w:cs="Times New Roman" w:ascii="Calibri" w:hAnsi="Calibri"/>
          <w:b/>
          <w:bCs/>
          <w:color w:val="00000A"/>
          <w:sz w:val="24"/>
          <w:szCs w:val="24"/>
          <w:u w:val="single"/>
        </w:rPr>
        <w:t>A equipe técnica do GAAPE</w:t>
      </w:r>
      <w:r>
        <w:rPr>
          <w:rFonts w:eastAsia="Times New Roman" w:cs="Times New Roman" w:ascii="Calibri" w:hAnsi="Calibri"/>
          <w:color w:val="00000A"/>
          <w:sz w:val="24"/>
          <w:szCs w:val="24"/>
        </w:rPr>
        <w:t xml:space="preserve"> prescreverá o </w:t>
      </w:r>
      <w:r>
        <w:rPr>
          <w:rFonts w:eastAsia="Times New Roman" w:cs="Times New Roman" w:ascii="Calibri" w:hAnsi="Calibri"/>
          <w:color w:val="00000A"/>
          <w:sz w:val="24"/>
          <w:szCs w:val="24"/>
          <w:u w:val="single"/>
        </w:rPr>
        <w:t>plano terapêutico</w:t>
      </w:r>
      <w:r>
        <w:rPr>
          <w:rFonts w:eastAsia="Times New Roman" w:cs="Times New Roman" w:ascii="Calibri" w:hAnsi="Calibri"/>
          <w:color w:val="00000A"/>
          <w:sz w:val="24"/>
          <w:szCs w:val="24"/>
        </w:rPr>
        <w:t xml:space="preserve"> necessário para cada caso, o regime de atendimento que deverá ser prestado e o número de sessões terapêuticas por meio do preenchimento da Folha de Avaliação/Acompanhamento do Programa de Atendimento Especial </w:t>
      </w:r>
      <w:r>
        <w:rPr>
          <w:rFonts w:eastAsia="Times New Roman" w:cs="Times New Roman" w:ascii="Calibri" w:hAnsi="Calibri"/>
          <w:color w:val="000000"/>
          <w:sz w:val="24"/>
          <w:szCs w:val="24"/>
        </w:rPr>
        <w:t>(apêndices II e III)</w:t>
      </w:r>
      <w:r>
        <w:rPr>
          <w:rFonts w:eastAsia="Times New Roman" w:cs="Times New Roman" w:ascii="Calibri" w:hAnsi="Calibri"/>
          <w:color w:val="00000A"/>
          <w:sz w:val="24"/>
          <w:szCs w:val="24"/>
        </w:rPr>
        <w:t xml:space="preserve">, contendo assinaturas e carimbos dos terapeutas e a assinatura do responsável legal. Além disso, a referida equipe prestará orientações aos pais/cuidadores sobre as instituições que, dentre as CREDENCIADAS no atendimento dos usuários do PAE, atendem as necessidades assistenciais específicas daquele usuário. O </w:t>
      </w:r>
      <w:r>
        <w:rPr>
          <w:rFonts w:eastAsia="Times New Roman" w:cs="Times New Roman" w:ascii="Calibri" w:hAnsi="Calibri"/>
          <w:color w:val="00000A"/>
          <w:sz w:val="24"/>
          <w:szCs w:val="24"/>
          <w:lang w:bidi="ar-SA"/>
        </w:rPr>
        <w:t>NAS</w:t>
      </w:r>
      <w:r>
        <w:rPr>
          <w:rFonts w:eastAsia="Times New Roman" w:cs="Times New Roman" w:ascii="Calibri" w:hAnsi="Calibri"/>
          <w:color w:val="00000A"/>
          <w:sz w:val="24"/>
          <w:szCs w:val="24"/>
        </w:rPr>
        <w:t xml:space="preserve"> encaminhará para a CREDENCIADA as referidas </w:t>
      </w:r>
      <w:r>
        <w:rPr>
          <w:rFonts w:eastAsia="Times New Roman" w:cs="Times New Roman" w:ascii="Calibri" w:hAnsi="Calibri"/>
          <w:color w:val="000000"/>
          <w:sz w:val="24"/>
          <w:szCs w:val="24"/>
        </w:rPr>
        <w:t>Folhas anexa à</w:t>
      </w:r>
      <w:r>
        <w:rPr>
          <w:rFonts w:eastAsia="Times New Roman" w:cs="Times New Roman" w:ascii="Calibri" w:hAnsi="Calibri"/>
          <w:color w:val="C9211E"/>
          <w:sz w:val="24"/>
          <w:szCs w:val="24"/>
        </w:rPr>
        <w:t xml:space="preserve"> </w:t>
      </w:r>
      <w:r>
        <w:rPr>
          <w:rFonts w:eastAsia="Times New Roman" w:cs="Times New Roman" w:ascii="Calibri" w:hAnsi="Calibri"/>
          <w:color w:val="000000"/>
          <w:sz w:val="24"/>
          <w:szCs w:val="24"/>
          <w:lang w:bidi="ar-SA"/>
        </w:rPr>
        <w:t>Guia</w:t>
      </w:r>
      <w:r>
        <w:rPr>
          <w:rFonts w:eastAsia="Times New Roman" w:cs="Times New Roman" w:ascii="Calibri" w:hAnsi="Calibri"/>
          <w:color w:val="000000"/>
          <w:sz w:val="24"/>
          <w:szCs w:val="24"/>
        </w:rPr>
        <w:t xml:space="preserve"> de Apresentação do Usuário (apêndice IV, do anexo A, deste Edital);</w:t>
      </w:r>
    </w:p>
    <w:p>
      <w:pPr>
        <w:pStyle w:val="Padro"/>
        <w:tabs>
          <w:tab w:val="clear" w:pos="708"/>
          <w:tab w:val="left" w:pos="0" w:leader="none"/>
        </w:tabs>
        <w:suppressAutoHyphens w:val="true"/>
        <w:snapToGrid w:val="false"/>
        <w:spacing w:lineRule="auto" w:line="240" w:before="119" w:after="119"/>
        <w:ind w:left="0" w:right="0" w:hanging="0"/>
        <w:jc w:val="both"/>
        <w:rPr>
          <w:rFonts w:ascii="Calibri" w:hAnsi="Calibri" w:eastAsia="Times New Roman"/>
          <w:color w:val="00000A"/>
          <w:sz w:val="24"/>
          <w:szCs w:val="24"/>
        </w:rPr>
      </w:pPr>
      <w:r>
        <w:rPr>
          <w:rFonts w:eastAsia="Times New Roman" w:ascii="Calibri" w:hAnsi="Calibri"/>
          <w:color w:val="00000A"/>
          <w:sz w:val="24"/>
          <w:szCs w:val="24"/>
        </w:rPr>
        <w:tab/>
        <w:t>7.3.2  O GAAPE reavaliará, as condições clínicas evolutivas de seus usuários;</w:t>
      </w:r>
    </w:p>
    <w:p>
      <w:pPr>
        <w:pStyle w:val="Padro"/>
        <w:tabs>
          <w:tab w:val="clear" w:pos="708"/>
          <w:tab w:val="left" w:pos="0" w:leader="none"/>
        </w:tabs>
        <w:suppressAutoHyphens w:val="true"/>
        <w:snapToGrid w:val="false"/>
        <w:spacing w:lineRule="auto" w:line="240" w:before="119" w:after="119"/>
        <w:ind w:left="0" w:right="0" w:hanging="0"/>
        <w:jc w:val="both"/>
        <w:rPr/>
      </w:pPr>
      <w:r>
        <w:rPr>
          <w:rFonts w:eastAsia="Times New Roman" w:ascii="Calibri" w:hAnsi="Calibri"/>
          <w:color w:val="00000A"/>
          <w:sz w:val="24"/>
          <w:szCs w:val="24"/>
        </w:rPr>
        <w:tab/>
        <w:t xml:space="preserve">7.3.3 </w:t>
      </w:r>
      <w:r>
        <w:rPr>
          <w:rFonts w:eastAsia="Times New Roman" w:ascii="Calibri" w:hAnsi="Calibri"/>
          <w:b/>
          <w:bCs/>
          <w:color w:val="00000A"/>
          <w:sz w:val="24"/>
          <w:szCs w:val="24"/>
          <w:u w:val="single"/>
        </w:rPr>
        <w:t>Compete às (aos) responsáveis pelos (as) usuários (as)</w:t>
      </w:r>
      <w:r>
        <w:rPr>
          <w:rFonts w:eastAsia="Times New Roman" w:ascii="Calibri" w:hAnsi="Calibri"/>
          <w:color w:val="00000A"/>
          <w:sz w:val="24"/>
          <w:szCs w:val="24"/>
        </w:rPr>
        <w:t xml:space="preserve"> realizar a escolha da instituição CREDENCIADA que for mais conveniente às condições da família, conforme preconizado no inciso 8.5.5, alínea a, da DGPM-501 (7a Revisão); e</w:t>
      </w:r>
    </w:p>
    <w:p>
      <w:pPr>
        <w:pStyle w:val="Padro"/>
        <w:widowControl w:val="false"/>
        <w:tabs>
          <w:tab w:val="clear" w:pos="708"/>
          <w:tab w:val="left" w:pos="0" w:leader="none"/>
        </w:tabs>
        <w:suppressAutoHyphens w:val="true"/>
        <w:snapToGrid w:val="false"/>
        <w:spacing w:lineRule="auto" w:line="240" w:before="119" w:after="119"/>
        <w:ind w:left="0" w:right="0" w:hanging="0"/>
        <w:jc w:val="both"/>
        <w:rPr/>
      </w:pPr>
      <w:r>
        <w:rPr>
          <w:rFonts w:eastAsia="Times New Roman" w:cs="Times New Roman" w:ascii="Calibri" w:hAnsi="Calibri"/>
          <w:color w:val="00000A"/>
          <w:sz w:val="24"/>
          <w:szCs w:val="24"/>
        </w:rPr>
        <w:tab/>
        <w:t xml:space="preserve">7.3.4  Será fornecido à (ao) responsável pelo usuário a </w:t>
      </w:r>
      <w:r>
        <w:rPr>
          <w:rFonts w:eastAsia="Times New Roman" w:cs="Times New Roman" w:ascii="Calibri" w:hAnsi="Calibri"/>
          <w:b/>
          <w:bCs/>
          <w:color w:val="00000A"/>
          <w:sz w:val="24"/>
          <w:szCs w:val="24"/>
          <w:u w:val="single"/>
        </w:rPr>
        <w:t>relação das CREDENCIADAS</w:t>
      </w:r>
      <w:r>
        <w:rPr>
          <w:rFonts w:eastAsia="Times New Roman" w:cs="Times New Roman" w:ascii="Calibri" w:hAnsi="Calibri"/>
          <w:color w:val="00000A"/>
          <w:sz w:val="24"/>
          <w:szCs w:val="24"/>
        </w:rPr>
        <w:t xml:space="preserve"> que poderão prestar o atendimento necessário ao mesmo de forma que ele selecione a que melhor lhe aprouver, de acordo com a prescrição do GAAPE.</w:t>
      </w:r>
    </w:p>
    <w:p>
      <w:pPr>
        <w:pStyle w:val="Padro"/>
        <w:widowControl w:val="false"/>
        <w:tabs>
          <w:tab w:val="clear" w:pos="708"/>
          <w:tab w:val="left" w:pos="0" w:leader="none"/>
        </w:tabs>
        <w:suppressAutoHyphens w:val="true"/>
        <w:snapToGrid w:val="false"/>
        <w:spacing w:lineRule="auto" w:line="240" w:before="119" w:after="119"/>
        <w:ind w:left="0" w:right="0" w:hanging="0"/>
        <w:jc w:val="both"/>
        <w:rPr/>
      </w:pPr>
      <w:r>
        <w:rPr>
          <w:rFonts w:eastAsia="Times New Roman" w:cs="Times New Roman" w:ascii="Calibri" w:hAnsi="Calibri"/>
          <w:b w:val="false"/>
          <w:bCs w:val="false"/>
          <w:color w:val="00000A"/>
          <w:sz w:val="24"/>
          <w:szCs w:val="24"/>
          <w:u w:val="none"/>
        </w:rPr>
        <w:t>7.4.</w:t>
      </w:r>
      <w:r>
        <w:rPr>
          <w:rFonts w:eastAsia="Times New Roman" w:cs="Times New Roman" w:ascii="Calibri" w:hAnsi="Calibri"/>
          <w:b/>
          <w:bCs/>
          <w:color w:val="00000A"/>
          <w:sz w:val="24"/>
          <w:szCs w:val="24"/>
          <w:u w:val="none"/>
        </w:rPr>
        <w:t xml:space="preserve">  DO DESLIGAMENTO E DA SUSPENSÃO DO ATENDIMENTO</w:t>
      </w:r>
    </w:p>
    <w:p>
      <w:pPr>
        <w:pStyle w:val="Padro"/>
        <w:tabs>
          <w:tab w:val="clear" w:pos="708"/>
          <w:tab w:val="left" w:pos="0" w:leader="none"/>
        </w:tabs>
        <w:suppressAutoHyphens w:val="true"/>
        <w:snapToGrid w:val="false"/>
        <w:spacing w:lineRule="auto" w:line="240" w:before="0" w:after="0"/>
        <w:ind w:left="0" w:right="0" w:hanging="0"/>
        <w:jc w:val="both"/>
        <w:rPr>
          <w:rFonts w:ascii="Calibri" w:hAnsi="Calibri" w:eastAsia="Times New Roman"/>
          <w:color w:val="00000A"/>
          <w:sz w:val="24"/>
          <w:szCs w:val="24"/>
        </w:rPr>
      </w:pPr>
      <w:r>
        <w:rPr>
          <w:rFonts w:eastAsia="Times New Roman" w:ascii="Calibri" w:hAnsi="Calibri"/>
          <w:color w:val="00000A"/>
          <w:sz w:val="24"/>
          <w:szCs w:val="24"/>
        </w:rPr>
        <w:tab/>
        <w:t xml:space="preserve">7.4.1  O desligamento do usuário da CREDENCIADA dar-se-á por solicitação escrita do responsável legal, ao </w:t>
      </w:r>
      <w:r>
        <w:rPr>
          <w:rFonts w:eastAsia="Times New Roman" w:cs="Times New Roman" w:ascii="Calibri" w:hAnsi="Calibri"/>
          <w:color w:val="00000A"/>
          <w:sz w:val="24"/>
          <w:szCs w:val="24"/>
          <w:lang w:bidi="ar-SA"/>
        </w:rPr>
        <w:t>NAS</w:t>
      </w:r>
      <w:r>
        <w:rPr>
          <w:rFonts w:eastAsia="Times New Roman" w:ascii="Calibri" w:hAnsi="Calibri"/>
          <w:color w:val="00000A"/>
          <w:sz w:val="24"/>
          <w:szCs w:val="24"/>
        </w:rPr>
        <w:t xml:space="preserve">; por indicação da equipe técnica do GAAPE; ou por decisão da equipe administrativa do PAE. Para estas situações, o </w:t>
      </w:r>
      <w:r>
        <w:rPr>
          <w:rFonts w:eastAsia="Times New Roman" w:cs="Times New Roman" w:ascii="Calibri" w:hAnsi="Calibri"/>
          <w:color w:val="00000A"/>
          <w:sz w:val="24"/>
          <w:szCs w:val="24"/>
          <w:lang w:bidi="ar-SA"/>
        </w:rPr>
        <w:t>NAS</w:t>
      </w:r>
      <w:r>
        <w:rPr>
          <w:rFonts w:eastAsia="Times New Roman" w:ascii="Calibri" w:hAnsi="Calibri"/>
          <w:color w:val="00000A"/>
          <w:sz w:val="24"/>
          <w:szCs w:val="24"/>
        </w:rPr>
        <w:t xml:space="preserve"> oficializará a decisão junto à CREDENCIADA; e</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rFonts w:ascii="Calibri" w:hAnsi="Calibri" w:eastAsia="Times New Roman"/>
          <w:color w:val="00000A"/>
          <w:sz w:val="24"/>
          <w:szCs w:val="24"/>
        </w:rPr>
      </w:pPr>
      <w:r>
        <w:rPr>
          <w:rFonts w:eastAsia="Times New Roman" w:cs="Times New Roman" w:ascii="Calibri" w:hAnsi="Calibri"/>
          <w:color w:val="00000A"/>
          <w:sz w:val="24"/>
          <w:szCs w:val="24"/>
        </w:rPr>
        <w:tab/>
        <w:t xml:space="preserve">7.4.2   A suspensão do atendimento dar-se-á por solicitação escrita do responsável legal, ao </w:t>
      </w:r>
      <w:r>
        <w:rPr>
          <w:rFonts w:eastAsia="Times New Roman" w:cs="Times New Roman" w:ascii="Calibri" w:hAnsi="Calibri"/>
          <w:color w:val="00000A"/>
          <w:sz w:val="24"/>
          <w:szCs w:val="24"/>
          <w:lang w:bidi="ar-SA"/>
        </w:rPr>
        <w:t>NAS</w:t>
      </w:r>
      <w:r>
        <w:rPr>
          <w:rFonts w:eastAsia="Times New Roman" w:cs="Times New Roman" w:ascii="Calibri" w:hAnsi="Calibri"/>
          <w:color w:val="00000A"/>
          <w:sz w:val="24"/>
          <w:szCs w:val="24"/>
        </w:rPr>
        <w:t>, o qual oficializará a decisão junto à CREDENCIADA, que não poderá realizar a cobrança dos serviços após a notificação.</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color w:val="00000A"/>
          <w:sz w:val="24"/>
          <w:szCs w:val="24"/>
        </w:rPr>
        <w:t>7.5  O CREDENCIADO é responsável pelos encargos trabalhista, fiscal, previdenciário e comercial resultantes da execução do contrato.</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color w:val="00000A"/>
          <w:sz w:val="24"/>
          <w:szCs w:val="24"/>
        </w:rPr>
        <w:t>7.6  A execução e controle dos serviços contratados serão avaliados pela CREDENCIANTE, mediante supervisão direta ou indireta dos procedimentos realizados.</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color w:val="00000A"/>
          <w:sz w:val="24"/>
          <w:szCs w:val="24"/>
        </w:rPr>
        <w:t>7.7  É vedado ao CREDENCIADO exigir que o usuário assine fatura ou guia de atendimento ou quaisquer papéis em branco.</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bCs/>
          <w:color w:val="00000A"/>
          <w:sz w:val="24"/>
          <w:szCs w:val="24"/>
        </w:rPr>
        <w:t xml:space="preserve">8   </w:t>
      </w:r>
      <w:r>
        <w:rPr>
          <w:rFonts w:eastAsia="Times New Roman" w:cs="Times New Roman" w:ascii="Calibri" w:hAnsi="Calibri"/>
          <w:b/>
          <w:bCs/>
          <w:color w:val="00000A"/>
          <w:sz w:val="24"/>
          <w:szCs w:val="24"/>
          <w:u w:val="single"/>
        </w:rPr>
        <w:t>DA PRESTAÇÃO DOS SERVIÇOS</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8.1 As condições de prestação dos serviços constam do Projeto Básico Anexo A do Edital de Credenciamento, observadas as regras gerais abaixo registradas.</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8.2   A prestação dos serviços pela CREDENCIADA deverá se guiar, por analogia e dentro do que lhe couber, pela Portaria GM/MS nº 1.526, de 11 de outubro de 2023, a qual versa sobre a nova Política Nacional de Atenção Integral à Saúde da Pessoa com Deficiência (PNAISPD) e Rede de Cuidados à Pessoa com Deficiência (RCPD) no âmbito do Sistema Único de Saúde (SUS). Essa portaria tem como objetivo promover e proteger a saúde da pessoa com deficiência, por meio da ampliação do acesso ao cuidado integral no âmbito do SUS, em articulação com as demais políticas e ações intersetoriais, contribuindo para sua autonomia, qualidade de vida e inclusão social, bem como prevenindo diferentes agravos à saúde em todos os ciclos de vida.</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 xml:space="preserve">8.3  A inclusão de especialidades extras, pela CREDENCIADA, durante o período de vigência contratual, ficará condicionada à prévia e expressa autorização do CREDENCIANTE, observando-se, no que couber, as exigências de qualificação previstas neste Edital de Credenciamento. </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8.4   Caso ocorram danos aos usuários do PAE, decorrentes de dolo, negligência, imprudência ou imperícia de seus profissionais ou prepostos, a CREDENCIADA estará sujeita a punições na esfera jurídica no que couber.</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 xml:space="preserve">8.5  Todas as ocorrências anormais verificadas na execução dos serviços, bem como a mudança de endereço de suas instalações físicas, deverão ser comunicadas ao </w:t>
      </w:r>
      <w:r>
        <w:rPr>
          <w:rFonts w:eastAsia="Times New Roman" w:cs="Times New Roman" w:ascii="Calibri" w:hAnsi="Calibri"/>
          <w:b w:val="false"/>
          <w:bCs w:val="false"/>
          <w:color w:val="00000A"/>
          <w:sz w:val="24"/>
          <w:szCs w:val="24"/>
          <w:lang w:bidi="ar-SA"/>
        </w:rPr>
        <w:t>NAS</w:t>
      </w:r>
      <w:r>
        <w:rPr>
          <w:rFonts w:eastAsia="Times New Roman" w:cs="Times New Roman" w:ascii="Calibri" w:hAnsi="Calibri"/>
          <w:b w:val="false"/>
          <w:bCs w:val="false"/>
          <w:color w:val="00000A"/>
          <w:sz w:val="24"/>
          <w:szCs w:val="24"/>
        </w:rPr>
        <w:t>, pela CREDENCIADA, por escrito, de forma clara e detalhada.</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8.6  A execução dos serviços nos regimes “ambulatorial” e “externato” deverão ser realizados pela CREDENCIADA de forma contínua e ininterrupta, de acordo com a prescrição técnica do GAAPE.</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 xml:space="preserve">8.7  </w:t>
      </w:r>
      <w:r>
        <w:rPr>
          <w:rFonts w:eastAsia="Times New Roman" w:cs="Times New Roman" w:ascii="Calibri" w:hAnsi="Calibri"/>
          <w:b w:val="false"/>
          <w:bCs w:val="false"/>
          <w:color w:val="00000A"/>
          <w:sz w:val="24"/>
          <w:szCs w:val="24"/>
          <w:u w:val="single"/>
        </w:rPr>
        <w:t>A CREDENCIANTE somente remunerará os serviços efetivamente prestados</w:t>
      </w:r>
      <w:r>
        <w:rPr>
          <w:rFonts w:eastAsia="Times New Roman" w:cs="Times New Roman" w:ascii="Calibri" w:hAnsi="Calibri"/>
          <w:b w:val="false"/>
          <w:bCs w:val="false"/>
          <w:color w:val="00000A"/>
          <w:sz w:val="24"/>
          <w:szCs w:val="24"/>
        </w:rPr>
        <w:t>, não sendo devido pagamento no caso de interrupção imotivada POR PARTE DA CREDENCIADA na execução de serviços, como férias, reciclagem de profissionais ou manutenção de instalações físicas da CREDENCIADA, dentre outros.</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bCs/>
          <w:color w:val="00000A"/>
          <w:sz w:val="24"/>
          <w:szCs w:val="24"/>
        </w:rPr>
        <w:t xml:space="preserve">9   </w:t>
      </w:r>
      <w:r>
        <w:rPr>
          <w:rFonts w:eastAsia="Times New Roman" w:cs="Times New Roman" w:ascii="Calibri" w:hAnsi="Calibri"/>
          <w:b/>
          <w:bCs/>
          <w:color w:val="00000A"/>
          <w:sz w:val="24"/>
          <w:szCs w:val="24"/>
          <w:u w:val="single"/>
        </w:rPr>
        <w:t>DA FISCALIZAÇÃO</w:t>
      </w:r>
    </w:p>
    <w:p>
      <w:pPr>
        <w:pStyle w:val="Padro"/>
        <w:tabs>
          <w:tab w:val="clear" w:pos="708"/>
          <w:tab w:val="left" w:pos="0" w:leader="none"/>
        </w:tabs>
        <w:suppressAutoHyphens w:val="true"/>
        <w:snapToGrid w:val="false"/>
        <w:spacing w:lineRule="auto" w:line="276" w:before="119" w:after="119"/>
        <w:ind w:left="0" w:right="0" w:hanging="0"/>
        <w:jc w:val="both"/>
        <w:rPr/>
      </w:pPr>
      <w:r>
        <w:rPr>
          <w:rFonts w:eastAsia="Times New Roman" w:ascii="Calibri" w:hAnsi="Calibri"/>
          <w:color w:val="00000A"/>
          <w:sz w:val="24"/>
          <w:szCs w:val="24"/>
        </w:rPr>
        <w:t xml:space="preserve">9.1  A fiscalização será exercida por representante(s) designado(s), nomeado(s) por meio de portaria, no interesse exclusivo do </w:t>
      </w:r>
      <w:r>
        <w:rPr>
          <w:rFonts w:eastAsia="Times New Roman" w:cs="Times New Roman" w:ascii="Calibri" w:hAnsi="Calibri"/>
          <w:color w:val="00000A"/>
          <w:kern w:val="0"/>
          <w:sz w:val="24"/>
          <w:szCs w:val="24"/>
          <w:lang w:val="pt-BR" w:eastAsia="pt-BR" w:bidi="ar-SA"/>
        </w:rPr>
        <w:t>Com4°DN</w:t>
      </w:r>
      <w:r>
        <w:rPr>
          <w:rFonts w:eastAsia="Times New Roman" w:ascii="Calibri" w:hAnsi="Calibri"/>
          <w:color w:val="00000A"/>
          <w:sz w:val="24"/>
          <w:szCs w:val="24"/>
        </w:rPr>
        <w:t>. Contudo, a CREDENCIADA responderá por eventual irregularidade ou acidente que ocorra na prestação do serviço, não implicando em qualquer responsabilidade do Poder Público ou de seus agentes e prepostos, salvo se apurado e comprovado que a irregularidade tenha decorrido de ação ou omissão funcional.</w:t>
      </w:r>
    </w:p>
    <w:p>
      <w:pPr>
        <w:pStyle w:val="Padro"/>
        <w:tabs>
          <w:tab w:val="clear" w:pos="708"/>
          <w:tab w:val="left" w:pos="0" w:leader="none"/>
        </w:tabs>
        <w:suppressAutoHyphens w:val="true"/>
        <w:snapToGrid w:val="false"/>
        <w:spacing w:lineRule="auto" w:line="276" w:before="119" w:after="119"/>
        <w:ind w:left="0" w:right="0" w:hanging="0"/>
        <w:jc w:val="both"/>
        <w:rPr/>
      </w:pPr>
      <w:r>
        <w:rPr>
          <w:rFonts w:eastAsia="Times New Roman" w:ascii="Calibri" w:hAnsi="Calibri"/>
          <w:color w:val="00000A"/>
          <w:sz w:val="24"/>
          <w:szCs w:val="24"/>
        </w:rPr>
        <w:t>9.2   A fiscalização, por meio dos seus representantes, terão plenos poderes para:</w:t>
      </w:r>
    </w:p>
    <w:p>
      <w:pPr>
        <w:pStyle w:val="Padro"/>
        <w:tabs>
          <w:tab w:val="clear" w:pos="708"/>
          <w:tab w:val="left" w:pos="0" w:leader="none"/>
        </w:tabs>
        <w:suppressAutoHyphens w:val="true"/>
        <w:snapToGrid w:val="false"/>
        <w:spacing w:lineRule="auto" w:line="276" w:before="119" w:after="119"/>
        <w:ind w:left="0" w:right="0" w:hanging="0"/>
        <w:jc w:val="both"/>
        <w:rPr/>
      </w:pPr>
      <w:r>
        <w:rPr>
          <w:rFonts w:eastAsia="Times New Roman" w:ascii="Calibri" w:hAnsi="Calibri"/>
          <w:color w:val="00000A"/>
          <w:sz w:val="24"/>
          <w:szCs w:val="24"/>
        </w:rPr>
        <w:tab/>
        <w:t xml:space="preserve">9.2.1  Exigir da CREDENCIADA a retirada imediata de qualquer dos prepostos deste que embaracem a sua ação fiscalizadora ou que não sejam considerados pelo </w:t>
      </w:r>
      <w:r>
        <w:rPr>
          <w:rFonts w:eastAsia="Times New Roman" w:cs="Times New Roman" w:ascii="Calibri" w:hAnsi="Calibri"/>
          <w:color w:val="00000A"/>
          <w:kern w:val="0"/>
          <w:sz w:val="24"/>
          <w:szCs w:val="24"/>
          <w:lang w:val="pt-BR" w:eastAsia="pt-BR" w:bidi="ar-SA"/>
        </w:rPr>
        <w:t>Com4°DN</w:t>
      </w:r>
      <w:r>
        <w:rPr>
          <w:rFonts w:eastAsia="Times New Roman" w:ascii="Calibri" w:hAnsi="Calibri"/>
          <w:color w:val="00000A"/>
          <w:sz w:val="24"/>
          <w:szCs w:val="24"/>
        </w:rPr>
        <w:t xml:space="preserve"> capazes para o fim desejado, independentemente de justificativas; e</w:t>
      </w:r>
    </w:p>
    <w:p>
      <w:pPr>
        <w:pStyle w:val="Padro"/>
        <w:tabs>
          <w:tab w:val="clear" w:pos="708"/>
          <w:tab w:val="left" w:pos="0" w:leader="none"/>
        </w:tabs>
        <w:suppressAutoHyphens w:val="true"/>
        <w:snapToGrid w:val="false"/>
        <w:spacing w:lineRule="auto" w:line="276" w:before="119" w:after="119"/>
        <w:ind w:left="0" w:right="0" w:hanging="0"/>
        <w:jc w:val="both"/>
        <w:rPr/>
      </w:pPr>
      <w:r>
        <w:rPr>
          <w:rFonts w:eastAsia="Times New Roman" w:ascii="Calibri" w:hAnsi="Calibri"/>
          <w:color w:val="00000A"/>
          <w:sz w:val="24"/>
          <w:szCs w:val="24"/>
        </w:rPr>
        <w:tab/>
        <w:t>9.2.2  Dentro da sua análise técnica, sustar qualquer atendimento que não esteja sendo executado de acordo com o especificado neste Projeto Básico, com o apoio técnico da equipe do GAAPE, do HNBE, para assuntos específicos atinentes às terapias e ao formato de execução por parte da CREDENCIADA.</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9.3 A fiscalização será responsável pelo acompanhamento e fiscalização da execução contratual, devendo o Fiscal de Contrato fazer anotações e registros de todas as ocorrências, determinando o que for necessário à regularização das falhas ou defeitos observados, bem como atestar os serviços prestados lançados na Nota Fiscal.</w:t>
      </w:r>
    </w:p>
    <w:p>
      <w:pPr>
        <w:pStyle w:val="Padro"/>
        <w:tabs>
          <w:tab w:val="clear" w:pos="708"/>
          <w:tab w:val="left" w:pos="0" w:leader="none"/>
        </w:tabs>
        <w:suppressAutoHyphens w:val="true"/>
        <w:snapToGrid w:val="false"/>
        <w:spacing w:lineRule="auto" w:line="276" w:before="119" w:after="119"/>
        <w:ind w:left="0" w:right="0" w:hanging="0"/>
        <w:jc w:val="both"/>
        <w:rPr/>
      </w:pPr>
      <w:r>
        <w:rPr>
          <w:rFonts w:eastAsia="Times New Roman" w:ascii="Calibri" w:hAnsi="Calibri"/>
          <w:color w:val="00000A"/>
          <w:sz w:val="24"/>
          <w:szCs w:val="24"/>
        </w:rPr>
        <w:t xml:space="preserve">9.4  A fiscalização poderá ser exercida no local onde estiver sendo executado o atendimento, pelo representante designado pelo </w:t>
      </w:r>
      <w:r>
        <w:rPr>
          <w:rFonts w:eastAsia="Times New Roman" w:cs="Times New Roman" w:ascii="Calibri" w:hAnsi="Calibri"/>
          <w:color w:val="00000A"/>
          <w:sz w:val="24"/>
          <w:szCs w:val="24"/>
          <w:lang w:bidi="ar-SA"/>
        </w:rPr>
        <w:t>Com4°DN</w:t>
      </w:r>
      <w:r>
        <w:rPr>
          <w:rFonts w:eastAsia="Times New Roman" w:ascii="Calibri" w:hAnsi="Calibri"/>
          <w:color w:val="00000A"/>
          <w:sz w:val="24"/>
          <w:szCs w:val="24"/>
        </w:rPr>
        <w:t xml:space="preserve"> que poderá, a seu critério, ser assessorado por profissionais ou entidades especializadas na execução da ação fiscalizadora. Para a consecução desta ação, serão observados os critérios estabelecidos de habilitação/fiscalização, constantes deste Edital.</w:t>
      </w:r>
    </w:p>
    <w:p>
      <w:pPr>
        <w:pStyle w:val="A060169"/>
        <w:tabs>
          <w:tab w:val="clear" w:pos="709"/>
          <w:tab w:val="left" w:pos="0" w:leader="none"/>
        </w:tabs>
        <w:suppressAutoHyphens w:val="true"/>
        <w:snapToGrid w:val="false"/>
        <w:spacing w:lineRule="auto" w:line="276" w:before="119" w:after="119"/>
        <w:ind w:left="0" w:right="0" w:hanging="0"/>
        <w:jc w:val="both"/>
        <w:rPr/>
      </w:pPr>
      <w:r>
        <w:rPr>
          <w:rStyle w:val="Fontepargpadro"/>
          <w:rFonts w:eastAsia="Times New Roman" w:cs="Calibri" w:ascii="Calibri" w:hAnsi="Calibri"/>
          <w:color w:val="00000A"/>
          <w:sz w:val="24"/>
          <w:szCs w:val="24"/>
        </w:rPr>
        <w:t xml:space="preserve">9.5  O </w:t>
      </w:r>
      <w:r>
        <w:rPr>
          <w:rStyle w:val="Fontepargpadro"/>
          <w:rFonts w:eastAsia="Times New Roman" w:cs="Calibri" w:ascii="Calibri" w:hAnsi="Calibri"/>
          <w:b w:val="false"/>
          <w:bCs w:val="false"/>
          <w:color w:val="00000A"/>
          <w:sz w:val="24"/>
          <w:szCs w:val="24"/>
        </w:rPr>
        <w:t xml:space="preserve">Com4°DN </w:t>
      </w:r>
      <w:r>
        <w:rPr>
          <w:rStyle w:val="Fontepargpadro"/>
          <w:rFonts w:eastAsia="Times New Roman" w:cs="Calibri" w:ascii="Calibri" w:hAnsi="Calibri"/>
          <w:color w:val="00000A"/>
          <w:sz w:val="24"/>
          <w:szCs w:val="24"/>
        </w:rPr>
        <w:t>designará os fiscais responsáveis pelo acompanhamento e fiscalização dos credenciamentos celebrados em Belém-PA, e delegará competência para as Organizações Militares dos Estados do Amapá, Maranhão, Piauí e do Município de Santarém-PA designarem os fiscais dos credenciamentos firmados em suas respectivas jurisdições.</w:t>
      </w:r>
    </w:p>
    <w:p>
      <w:pPr>
        <w:pStyle w:val="Padro"/>
        <w:tabs>
          <w:tab w:val="clear" w:pos="708"/>
          <w:tab w:val="left" w:pos="0" w:leader="none"/>
        </w:tabs>
        <w:suppressAutoHyphens w:val="true"/>
        <w:snapToGrid w:val="false"/>
        <w:spacing w:lineRule="auto" w:line="276" w:before="119" w:after="119"/>
        <w:ind w:left="0" w:right="0" w:hanging="0"/>
        <w:jc w:val="both"/>
        <w:rPr/>
      </w:pPr>
      <w:r>
        <w:rPr>
          <w:rFonts w:eastAsia="Times New Roman" w:ascii="Calibri" w:hAnsi="Calibri"/>
          <w:color w:val="00000A"/>
          <w:sz w:val="24"/>
          <w:szCs w:val="24"/>
        </w:rPr>
        <w:t>9.6  Somente serão pagos os serviços já realizados, aprovados e certificados pelo fiscal.</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b w:val="false"/>
          <w:bCs w:val="false"/>
          <w:color w:val="00000A"/>
          <w:sz w:val="24"/>
          <w:szCs w:val="24"/>
        </w:rPr>
        <w:t>9.7  No caso da CREDENCIADA deverá indicar, na Carta Proposta, o nome completo, função, número da carteira de identidade, CPF, endereço residencial e telefone do PREPOSTO, que responderá e atenderá a todas as demandas inerentes às atividades descritas no Termo de Contrato e no Projeto Básico, realizando todos os atos necessários ao seu cumprimento; e atender a todos os pedidos de esclarecimentos, num prazo máximo de dez dias, que se fizerem necessários à fiscalização administrativa e técnica do Termo de Contrato.</w:t>
      </w:r>
    </w:p>
    <w:p>
      <w:pPr>
        <w:pStyle w:val="Normal"/>
        <w:widowControl w:val="false"/>
        <w:numPr>
          <w:ilvl w:val="0"/>
          <w:numId w:val="0"/>
        </w:numPr>
        <w:spacing w:lineRule="auto" w:line="276" w:before="119" w:after="119"/>
        <w:ind w:left="0" w:hanging="0"/>
        <w:jc w:val="both"/>
        <w:rPr/>
      </w:pPr>
      <w:r>
        <w:rPr>
          <w:rFonts w:cs="Times New Roman"/>
          <w:b/>
          <w:bCs/>
          <w:sz w:val="24"/>
          <w:szCs w:val="24"/>
          <w:u w:val="none"/>
        </w:rPr>
        <w:t xml:space="preserve">10   </w:t>
      </w:r>
      <w:r>
        <w:rPr>
          <w:rFonts w:cs="Times New Roman"/>
          <w:b/>
          <w:bCs/>
          <w:sz w:val="24"/>
          <w:szCs w:val="24"/>
          <w:u w:val="single"/>
        </w:rPr>
        <w:t>DO PREÇO E CONDIÇÕES DE PAGAMENTO.</w:t>
      </w:r>
    </w:p>
    <w:p>
      <w:pPr>
        <w:pStyle w:val="Normal"/>
        <w:widowControl w:val="false"/>
        <w:numPr>
          <w:ilvl w:val="0"/>
          <w:numId w:val="0"/>
        </w:numPr>
        <w:spacing w:lineRule="auto" w:line="276" w:before="119" w:after="119"/>
        <w:ind w:left="0" w:hanging="0"/>
        <w:jc w:val="both"/>
        <w:rPr/>
      </w:pPr>
      <w:r>
        <w:rPr>
          <w:rFonts w:cs="Times New Roman"/>
          <w:sz w:val="24"/>
          <w:szCs w:val="24"/>
        </w:rPr>
        <w:t>10.1 Os serviços serão remunerados com base nos valores estabelecidos pelas tabelas constantes do Apêndice I do Anexo A – Tabela de Preços, cujo o montante deverá variar de acordo com o número de atendimentos realizados pelas clínicas credenciadas e o regime de atendimento adotado para cada usuário.</w:t>
      </w:r>
    </w:p>
    <w:p>
      <w:pPr>
        <w:pStyle w:val="Normal"/>
        <w:widowControl w:val="false"/>
        <w:numPr>
          <w:ilvl w:val="0"/>
          <w:numId w:val="0"/>
        </w:numPr>
        <w:tabs>
          <w:tab w:val="clear" w:pos="709"/>
          <w:tab w:val="left" w:pos="1004" w:leader="none"/>
        </w:tabs>
        <w:suppressAutoHyphens w:val="true"/>
        <w:snapToGrid w:val="false"/>
        <w:spacing w:lineRule="auto" w:line="276" w:before="0" w:after="120"/>
        <w:ind w:left="0" w:right="0" w:hanging="0"/>
        <w:jc w:val="both"/>
        <w:rPr/>
      </w:pPr>
      <w:r>
        <w:rPr>
          <w:rStyle w:val="Fontepargpadro"/>
          <w:rFonts w:eastAsia="Calibri" w:cs="Calibri"/>
          <w:b w:val="false"/>
          <w:bCs w:val="false"/>
          <w:color w:val="00000A"/>
          <w:sz w:val="24"/>
          <w:szCs w:val="24"/>
        </w:rPr>
        <w:tab/>
        <w:t>10.1.1 Foram realizados agrupamentos dos valores obtidos nas pesquisas de mercado, em planilha, de modo a se obter médias em cada uma das terapias, em cada um dos tipos de terapia, e chegar a valores médios agrupados. Considerando o fato de que escopo do Edital do PAE possui valor único de sessão, independentemente das terapias, buscou-se chegar a um valor que, na média, refletisse um valor condizente e aceitável para todas as terapias.</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color w:val="000000"/>
          <w:sz w:val="24"/>
          <w:szCs w:val="24"/>
        </w:rPr>
        <w:t xml:space="preserve">10.2  A título de conferência e verificação, a CREDENCIADA enviará mensalmente para o </w:t>
      </w:r>
      <w:r>
        <w:rPr>
          <w:rStyle w:val="Fontepargpadro4"/>
          <w:rFonts w:eastAsia="Times New Roman" w:cs="Calibri" w:ascii="Calibri" w:hAnsi="Calibri"/>
          <w:color w:val="000000"/>
          <w:sz w:val="24"/>
          <w:szCs w:val="24"/>
          <w:lang w:bidi="ar-SA"/>
        </w:rPr>
        <w:t>NAS</w:t>
      </w:r>
      <w:r>
        <w:rPr>
          <w:rStyle w:val="Fontepargpadro4"/>
          <w:rFonts w:eastAsia="Times New Roman" w:cs="Calibri" w:ascii="Calibri" w:hAnsi="Calibri"/>
          <w:color w:val="000000"/>
          <w:sz w:val="24"/>
          <w:szCs w:val="24"/>
        </w:rPr>
        <w:t>, aos cuidados do respectivo Fiscal de Contrato responsável pela sua instituição:</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b w:val="false"/>
          <w:bCs w:val="false"/>
          <w:color w:val="000000"/>
          <w:sz w:val="24"/>
          <w:szCs w:val="24"/>
          <w:u w:val="none"/>
        </w:rPr>
        <w:tab/>
        <w:t xml:space="preserve">10.2.1  </w:t>
      </w:r>
      <w:r>
        <w:rPr>
          <w:rStyle w:val="Fontepargpadro4"/>
          <w:rFonts w:eastAsia="Times New Roman" w:cs="Calibri" w:ascii="Calibri" w:hAnsi="Calibri"/>
          <w:b/>
          <w:bCs/>
          <w:color w:val="000000"/>
          <w:sz w:val="24"/>
          <w:szCs w:val="24"/>
          <w:u w:val="single"/>
        </w:rPr>
        <w:t>Uma Planilha de Serviços Prestados</w:t>
      </w:r>
      <w:r>
        <w:rPr>
          <w:rStyle w:val="Fontepargpadro4"/>
          <w:rFonts w:eastAsia="Times New Roman" w:cs="Calibri" w:ascii="Calibri" w:hAnsi="Calibri"/>
          <w:color w:val="000000"/>
          <w:sz w:val="24"/>
          <w:szCs w:val="24"/>
        </w:rPr>
        <w:t>, conforme</w:t>
      </w:r>
      <w:r>
        <w:rPr>
          <w:rStyle w:val="Fontepargpadro4"/>
          <w:rFonts w:eastAsia="Times New Roman" w:cs="Calibri" w:ascii="Calibri" w:hAnsi="Calibri"/>
          <w:color w:val="C9211E"/>
          <w:sz w:val="24"/>
          <w:szCs w:val="24"/>
        </w:rPr>
        <w:t xml:space="preserve"> </w:t>
      </w:r>
      <w:r>
        <w:rPr>
          <w:rStyle w:val="Fontepargpadro4"/>
          <w:rFonts w:eastAsia="Times New Roman" w:cs="Calibri" w:ascii="Calibri" w:hAnsi="Calibri"/>
          <w:color w:val="000000"/>
          <w:sz w:val="24"/>
          <w:szCs w:val="24"/>
        </w:rPr>
        <w:t>apêndice VI, a qual deverá discriminar os serviços prestados a cada paciente, assinada pelo (a) representante legal da instituição;</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color w:val="000000"/>
          <w:sz w:val="24"/>
          <w:szCs w:val="24"/>
        </w:rPr>
        <w:tab/>
        <w:t xml:space="preserve">10.2.2   </w:t>
      </w:r>
      <w:r>
        <w:rPr>
          <w:rStyle w:val="Fontepargpadro4"/>
          <w:rFonts w:eastAsia="Times New Roman" w:cs="Calibri" w:ascii="Calibri" w:hAnsi="Calibri"/>
          <w:b/>
          <w:bCs/>
          <w:color w:val="000000"/>
          <w:sz w:val="24"/>
          <w:szCs w:val="24"/>
          <w:u w:val="single"/>
        </w:rPr>
        <w:t xml:space="preserve">Uma </w:t>
      </w:r>
      <w:r>
        <w:rPr>
          <w:rStyle w:val="Fontepargpadro4"/>
          <w:rFonts w:eastAsia="Times New Roman" w:cs="Calibri" w:ascii="Calibri" w:hAnsi="Calibri"/>
          <w:b/>
          <w:bCs/>
          <w:color w:val="000000"/>
          <w:sz w:val="24"/>
          <w:szCs w:val="24"/>
          <w:u w:val="single"/>
          <w:lang w:bidi="ar-SA"/>
        </w:rPr>
        <w:t>Guia</w:t>
      </w:r>
      <w:r>
        <w:rPr>
          <w:rStyle w:val="Fontepargpadro4"/>
          <w:rFonts w:eastAsia="Times New Roman" w:cs="Calibri" w:ascii="Calibri" w:hAnsi="Calibri"/>
          <w:b/>
          <w:bCs/>
          <w:color w:val="000000"/>
          <w:sz w:val="24"/>
          <w:szCs w:val="24"/>
          <w:u w:val="single"/>
        </w:rPr>
        <w:t xml:space="preserve"> de Apresentação do Usuário</w:t>
      </w:r>
      <w:r>
        <w:rPr>
          <w:rStyle w:val="Fontepargpadro4"/>
          <w:rFonts w:eastAsia="Times New Roman" w:cs="Calibri" w:ascii="Calibri" w:hAnsi="Calibri"/>
          <w:color w:val="000000"/>
          <w:sz w:val="24"/>
          <w:szCs w:val="24"/>
        </w:rPr>
        <w:t>, conforme apêndice IV, e somente no momento do ingresso ou por ocasião de mudança de regimes de atendimento. Neste documento, a instituição informará a data de início do tratamento do (a) usuário (a) e conterá a assinatura do (a) representante legal da instituição.</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color w:val="000000"/>
          <w:sz w:val="24"/>
          <w:szCs w:val="24"/>
        </w:rPr>
        <w:tab/>
        <w:t xml:space="preserve">10.2.3   </w:t>
      </w:r>
      <w:r>
        <w:rPr>
          <w:rStyle w:val="Fontepargpadro4"/>
          <w:rFonts w:eastAsia="Times New Roman" w:cs="Calibri" w:ascii="Calibri" w:hAnsi="Calibri"/>
          <w:b/>
          <w:bCs/>
          <w:color w:val="000000"/>
          <w:sz w:val="24"/>
          <w:szCs w:val="24"/>
          <w:u w:val="single"/>
        </w:rPr>
        <w:t>Ficha de Frequência dos Usuários</w:t>
      </w:r>
      <w:r>
        <w:rPr>
          <w:rStyle w:val="Fontepargpadro4"/>
          <w:rFonts w:eastAsia="Times New Roman" w:cs="Calibri" w:ascii="Calibri" w:hAnsi="Calibri"/>
          <w:color w:val="000000"/>
          <w:sz w:val="24"/>
          <w:szCs w:val="24"/>
        </w:rPr>
        <w:t>, conforme</w:t>
      </w:r>
      <w:r>
        <w:rPr>
          <w:rStyle w:val="Fontepargpadro4"/>
          <w:rFonts w:eastAsia="Times New Roman" w:cs="Calibri" w:ascii="Calibri" w:hAnsi="Calibri"/>
          <w:color w:val="C9211E"/>
          <w:sz w:val="24"/>
          <w:szCs w:val="24"/>
        </w:rPr>
        <w:t xml:space="preserve"> </w:t>
      </w:r>
      <w:r>
        <w:rPr>
          <w:rStyle w:val="Fontepargpadro4"/>
          <w:rFonts w:eastAsia="Times New Roman" w:cs="Calibri" w:ascii="Calibri" w:hAnsi="Calibri"/>
          <w:color w:val="000000"/>
          <w:sz w:val="24"/>
          <w:szCs w:val="24"/>
        </w:rPr>
        <w:t>apêndice VII, contendo:</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color w:val="000000"/>
          <w:sz w:val="24"/>
          <w:szCs w:val="24"/>
        </w:rPr>
        <w:tab/>
        <w:tab/>
        <w:t>10.2.3.1   A assinatura e/ou rubrica da pessoa responsável pelo (a) usuário (a) e/ou da pessoa autorizada;</w:t>
      </w:r>
      <w:r>
        <w:rPr>
          <w:rStyle w:val="Fontepargpadro4"/>
          <w:rFonts w:eastAsia="Times New Roman" w:cs="Calibri" w:ascii="Calibri" w:hAnsi="Calibri"/>
          <w:color w:val="C9211E"/>
          <w:sz w:val="24"/>
          <w:szCs w:val="24"/>
        </w:rPr>
        <w:t xml:space="preserve"> </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color w:val="000000"/>
          <w:sz w:val="24"/>
          <w:szCs w:val="24"/>
        </w:rPr>
        <w:tab/>
        <w:tab/>
        <w:t xml:space="preserve">10.2.3.2.  Assinatura e carimbo do responsável técnico da clínica; </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color w:val="000000"/>
          <w:sz w:val="24"/>
          <w:szCs w:val="24"/>
        </w:rPr>
        <w:tab/>
        <w:tab/>
        <w:t>10.2.3.3   Nome do profissional que efetuou o atendimento com seu respectivo carimbo profissional contendo o número de registro no respectivo conselho da profissão e assinatura.</w:t>
      </w:r>
    </w:p>
    <w:p>
      <w:pPr>
        <w:pStyle w:val="A050168"/>
        <w:widowControl w:val="false"/>
        <w:numPr>
          <w:ilvl w:val="0"/>
          <w:numId w:val="0"/>
        </w:numPr>
        <w:tabs>
          <w:tab w:val="clear" w:pos="709"/>
          <w:tab w:val="left" w:pos="-2127" w:leader="none"/>
        </w:tabs>
        <w:suppressAutoHyphens w:val="true"/>
        <w:spacing w:lineRule="auto" w:line="276" w:before="119" w:after="119"/>
        <w:ind w:left="0" w:right="0" w:hanging="0"/>
        <w:jc w:val="both"/>
        <w:rPr/>
      </w:pPr>
      <w:r>
        <w:rPr>
          <w:rStyle w:val="Fontepargpadro4"/>
          <w:rFonts w:eastAsia="Times New Roman" w:cs="Calibri" w:ascii="Calibri" w:hAnsi="Calibri"/>
          <w:i w:val="false"/>
          <w:iCs w:val="false"/>
          <w:color w:val="000000"/>
          <w:sz w:val="24"/>
          <w:szCs w:val="24"/>
          <w:shd w:fill="auto" w:val="clear"/>
        </w:rPr>
        <w:t xml:space="preserve">10.3  Os documentos referidos no subitem anterior deverão ser enviados ao </w:t>
      </w:r>
      <w:r>
        <w:rPr>
          <w:rStyle w:val="Fontepargpadro4"/>
          <w:rFonts w:eastAsia="Times New Roman" w:cs="Calibri" w:ascii="Calibri" w:hAnsi="Calibri"/>
          <w:i w:val="false"/>
          <w:iCs w:val="false"/>
          <w:color w:val="000000"/>
          <w:sz w:val="24"/>
          <w:szCs w:val="24"/>
          <w:shd w:fill="auto" w:val="clear"/>
          <w:lang w:bidi="ar-SA"/>
        </w:rPr>
        <w:t>NAS</w:t>
      </w:r>
      <w:r>
        <w:rPr>
          <w:rStyle w:val="Fontepargpadro4"/>
          <w:rFonts w:eastAsia="Times New Roman" w:cs="Calibri" w:ascii="Calibri" w:hAnsi="Calibri"/>
          <w:i w:val="false"/>
          <w:iCs w:val="false"/>
          <w:color w:val="000000"/>
          <w:sz w:val="24"/>
          <w:szCs w:val="24"/>
          <w:shd w:fill="auto" w:val="clear"/>
        </w:rPr>
        <w:t xml:space="preserve">, aos cuidados do Fiscal de Contrato designado e previamente informado à CREDENCIADA, </w:t>
      </w:r>
      <w:r>
        <w:rPr>
          <w:rStyle w:val="Fontepargpadro4"/>
          <w:rFonts w:eastAsia="Times New Roman" w:cs="Calibri" w:ascii="Calibri" w:hAnsi="Calibri"/>
          <w:b/>
          <w:bCs/>
          <w:i w:val="false"/>
          <w:iCs w:val="false"/>
          <w:color w:val="000000"/>
          <w:sz w:val="24"/>
          <w:szCs w:val="24"/>
          <w:u w:val="single"/>
          <w:shd w:fill="auto" w:val="clear"/>
        </w:rPr>
        <w:t>até o 5° dia útil após a prestação mensal dos respectivos serviços.</w:t>
      </w:r>
    </w:p>
    <w:p>
      <w:pPr>
        <w:pStyle w:val="A050168"/>
        <w:numPr>
          <w:ilvl w:val="0"/>
          <w:numId w:val="0"/>
        </w:numPr>
        <w:tabs>
          <w:tab w:val="clear" w:pos="709"/>
          <w:tab w:val="left" w:pos="-2127" w:leader="none"/>
        </w:tabs>
        <w:suppressAutoHyphens w:val="true"/>
        <w:spacing w:lineRule="auto" w:line="276" w:before="119" w:after="119"/>
        <w:ind w:left="0" w:right="0" w:hanging="0"/>
        <w:rPr/>
      </w:pPr>
      <w:r>
        <w:rPr>
          <w:rStyle w:val="Fontepargpadro4"/>
          <w:rFonts w:eastAsia="Times New Roman" w:cs="Calibri" w:ascii="Calibri" w:hAnsi="Calibri"/>
          <w:color w:val="000000"/>
          <w:sz w:val="24"/>
          <w:szCs w:val="24"/>
        </w:rPr>
        <w:t xml:space="preserve">10.4  O Fiscal de Contrato do </w:t>
      </w:r>
      <w:r>
        <w:rPr>
          <w:rStyle w:val="Fontepargpadro4"/>
          <w:rFonts w:eastAsia="Times New Roman" w:cs="Calibri" w:ascii="Calibri" w:hAnsi="Calibri"/>
          <w:color w:val="000000"/>
          <w:sz w:val="24"/>
          <w:szCs w:val="24"/>
          <w:lang w:bidi="ar-SA"/>
        </w:rPr>
        <w:t>NAS</w:t>
      </w:r>
      <w:r>
        <w:rPr>
          <w:rStyle w:val="Fontepargpadro4"/>
          <w:rFonts w:eastAsia="Times New Roman" w:cs="Calibri" w:ascii="Calibri" w:hAnsi="Calibri"/>
          <w:color w:val="000000"/>
          <w:sz w:val="24"/>
          <w:szCs w:val="24"/>
        </w:rPr>
        <w:t xml:space="preserve"> terá 15 (quinze) dias úteis para efetuar a conferência da Planilha de Serviços e das Fichas de Frequência e solicitar a Nota Fiscal/Fatura ao CREDENCIADO. Após o recebimento da Nota Fiscal/Fatura, o Fiscal atestará a efetivação da prestação dos serviços no verso da Nota e encaminhará os títulos à Seção de Execução Financeira para pagamento.</w:t>
      </w:r>
    </w:p>
    <w:p>
      <w:pPr>
        <w:pStyle w:val="Padro"/>
        <w:numPr>
          <w:ilvl w:val="0"/>
          <w:numId w:val="0"/>
        </w:numPr>
        <w:tabs>
          <w:tab w:val="clear" w:pos="708"/>
          <w:tab w:val="left" w:pos="0" w:leader="none"/>
        </w:tabs>
        <w:suppressAutoHyphens w:val="true"/>
        <w:snapToGrid w:val="false"/>
        <w:spacing w:lineRule="auto" w:line="276" w:before="119" w:after="119"/>
        <w:ind w:left="0" w:right="0" w:hanging="0"/>
        <w:jc w:val="both"/>
        <w:rPr/>
      </w:pPr>
      <w:r>
        <w:rPr>
          <w:rStyle w:val="Fontepargpadro4"/>
          <w:rFonts w:eastAsia="Times New Roman" w:cs="Calibri" w:ascii="Calibri" w:hAnsi="Calibri"/>
          <w:i w:val="false"/>
          <w:iCs w:val="false"/>
          <w:color w:val="000000"/>
          <w:sz w:val="24"/>
          <w:szCs w:val="24"/>
          <w:shd w:fill="auto" w:val="clear"/>
        </w:rPr>
        <w:t xml:space="preserve">10.5  </w:t>
      </w:r>
      <w:r>
        <w:rPr>
          <w:rFonts w:eastAsia="Times New Roman" w:ascii="Calibri" w:hAnsi="Calibri"/>
          <w:color w:val="00000A"/>
          <w:sz w:val="24"/>
          <w:szCs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pPr>
        <w:pStyle w:val="Padro"/>
        <w:widowControl w:val="false"/>
        <w:numPr>
          <w:ilvl w:val="0"/>
          <w:numId w:val="0"/>
        </w:numPr>
        <w:tabs>
          <w:tab w:val="clear" w:pos="708"/>
          <w:tab w:val="left" w:pos="0" w:leader="none"/>
        </w:tabs>
        <w:suppressAutoHyphens w:val="true"/>
        <w:snapToGrid w:val="false"/>
        <w:spacing w:lineRule="auto" w:line="276" w:before="119" w:after="119"/>
        <w:ind w:left="0" w:right="0" w:hanging="0"/>
        <w:jc w:val="both"/>
        <w:rPr/>
      </w:pPr>
      <w:r>
        <w:rPr>
          <w:rStyle w:val="Fontepargpadro4"/>
          <w:rFonts w:eastAsia="Times New Roman" w:cs="Calibri" w:ascii="Calibri" w:hAnsi="Calibri"/>
          <w:i w:val="false"/>
          <w:iCs w:val="false"/>
          <w:color w:val="00000A"/>
          <w:sz w:val="24"/>
          <w:szCs w:val="24"/>
          <w:shd w:fill="auto" w:val="clear"/>
        </w:rPr>
        <w:t>10.6  Em caso de não conformidade da Planilha que discrimina os serviços ou Nota Fiscal/Fatura, o Fiscal devolverá à CREDENCIADA para as devidas correções.</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Style w:val="Fontepargpadro4"/>
          <w:rFonts w:eastAsia="Times New Roman" w:cs="Calibri" w:ascii="Calibri" w:hAnsi="Calibri"/>
          <w:i w:val="false"/>
          <w:iCs w:val="false"/>
          <w:color w:val="00000A"/>
          <w:sz w:val="24"/>
          <w:szCs w:val="24"/>
          <w:shd w:fill="auto" w:val="clear"/>
        </w:rPr>
        <w:tab/>
        <w:t xml:space="preserve">10.6.1  A instituição emitirá a Nota Fiscal somente após a autorização do Fiscal e somente após a apresentação da Planilha de Serviços retificada, nos casos solicitados. </w:t>
      </w:r>
    </w:p>
    <w:p>
      <w:pPr>
        <w:pStyle w:val="Padro"/>
        <w:widowControl w:val="false"/>
        <w:tabs>
          <w:tab w:val="clear" w:pos="708"/>
          <w:tab w:val="left" w:pos="0" w:leader="none"/>
        </w:tabs>
        <w:suppressAutoHyphens w:val="true"/>
        <w:snapToGrid w:val="false"/>
        <w:spacing w:lineRule="auto" w:line="276" w:before="119" w:after="119"/>
        <w:ind w:left="0" w:right="0" w:hanging="0"/>
        <w:jc w:val="both"/>
        <w:rPr/>
      </w:pPr>
      <w:r>
        <w:rPr>
          <w:rStyle w:val="Fontepargpadro4"/>
          <w:rFonts w:eastAsia="Times New Roman" w:cs="Calibri" w:ascii="Calibri" w:hAnsi="Calibri"/>
          <w:i w:val="false"/>
          <w:iCs w:val="false"/>
          <w:color w:val="00000A"/>
          <w:sz w:val="24"/>
          <w:szCs w:val="24"/>
          <w:shd w:fill="auto" w:val="clear"/>
        </w:rPr>
        <w:t>10.7  Toda e qualquer discordância, quanto aos documentos apresentados, serão tratadas oficialmente por escrito, de forma discriminada e justificada, entre as partes.</w:t>
      </w:r>
    </w:p>
    <w:p>
      <w:pPr>
        <w:pStyle w:val="Normal"/>
        <w:widowControl w:val="false"/>
        <w:numPr>
          <w:ilvl w:val="0"/>
          <w:numId w:val="0"/>
        </w:numPr>
        <w:spacing w:lineRule="auto" w:line="276" w:before="119" w:after="119"/>
        <w:ind w:left="0" w:hanging="0"/>
        <w:jc w:val="both"/>
        <w:rPr/>
      </w:pPr>
      <w:r>
        <w:rPr>
          <w:rFonts w:cs="Times New Roman"/>
          <w:sz w:val="24"/>
          <w:szCs w:val="24"/>
        </w:rPr>
        <w:t>10.8   É vedado ao CREDENCIADO cobrar diretamente do beneficiário da Marinha do Brasil qualquer importância a título de taxas, honorários ou serviços prestados, inclusive depósitos prévios, além dos constantes das Tabelas acima pactuadas.</w:t>
      </w:r>
    </w:p>
    <w:p>
      <w:pPr>
        <w:pStyle w:val="Normal"/>
        <w:widowControl w:val="false"/>
        <w:numPr>
          <w:ilvl w:val="0"/>
          <w:numId w:val="0"/>
        </w:numPr>
        <w:spacing w:lineRule="auto" w:line="276" w:before="119" w:after="119"/>
        <w:ind w:left="0" w:hanging="0"/>
        <w:jc w:val="both"/>
        <w:rPr/>
      </w:pPr>
      <w:r>
        <w:rPr>
          <w:sz w:val="24"/>
          <w:szCs w:val="24"/>
        </w:rPr>
        <w:t xml:space="preserve">10.9  O pagamento será precedido de consulta quanto à regularidade fiscal do CREDENCIADO por meio de consulta direta “on line” ao Sistema de Cadastramento Unificado de Fornecedores – (SICAF) ou mediante apresentação, pelos CREDENCIADOS, das certidões (Certidão Conjunta Negativa de Débitos Relativos aos Tributos Federais e à Dívida Ativa da União junto à Receita Federal, FGTS, INSS e CNDT). Nos casos em que houver alguma certidão inválida, o CREDENCIADO deverá apresentar a justificativa e a providência adotada para sanar a irregularidade, de acordo com a Instrução Normativa nº 05/2017 da Secretária de Logística e Tecnologia da Informação do Ministério do Planejamento, Orçamento e Gestão, ou normatização que vier a lhe substituir. </w:t>
      </w:r>
    </w:p>
    <w:p>
      <w:pPr>
        <w:pStyle w:val="Normal"/>
        <w:widowControl w:val="false"/>
        <w:numPr>
          <w:ilvl w:val="0"/>
          <w:numId w:val="0"/>
        </w:numPr>
        <w:spacing w:lineRule="auto" w:line="276" w:before="119" w:after="119"/>
        <w:ind w:left="0" w:hanging="0"/>
        <w:jc w:val="both"/>
        <w:rPr/>
      </w:pPr>
      <w:r>
        <w:rPr>
          <w:rFonts w:cs="Times New Roman"/>
          <w:sz w:val="24"/>
          <w:szCs w:val="24"/>
        </w:rPr>
        <w:t>10.10  Os pagamentos serão efetuados mediante Ordem Bancária, em favor do CREDENCIADO, na Conta Corrente, Agência e Banco informados, após a apresentação de Nota Fiscal dos serviços e lisura das faturas devidamente discriminadas. Deverá constar no corpo das respectivas faturas o período de competência do faturamento.</w:t>
      </w:r>
    </w:p>
    <w:p>
      <w:pPr>
        <w:pStyle w:val="Padro"/>
        <w:widowControl w:val="false"/>
        <w:numPr>
          <w:ilvl w:val="0"/>
          <w:numId w:val="0"/>
        </w:numPr>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color w:val="00000A"/>
          <w:sz w:val="24"/>
          <w:szCs w:val="24"/>
        </w:rPr>
        <w:tab/>
        <w:t>10.10.1 Considerando a forma peculiar de pagamento adotado pela Administração Pública, com a utilização da ordem bancária, com depósito na conta-corrente da CREDENCIADA, é defeso à CREDENCIADA a emissão de duplicatas em função do Termo de Contrato a ser celebrado. A emissão desse título de crédito, sem prejuízo das providências judiciais cabíveis, por caracterizar ilícito grave, equiparável à emissão de duplicatas simuladas, demandará o sancionamento da CREDENCIADA com uma das penas prescritas na Lei n°  14.133/2021.</w:t>
      </w:r>
    </w:p>
    <w:p>
      <w:pPr>
        <w:pStyle w:val="Padro"/>
        <w:widowControl w:val="false"/>
        <w:numPr>
          <w:ilvl w:val="0"/>
          <w:numId w:val="0"/>
        </w:numPr>
        <w:tabs>
          <w:tab w:val="clear" w:pos="708"/>
          <w:tab w:val="left" w:pos="0" w:leader="none"/>
        </w:tabs>
        <w:suppressAutoHyphens w:val="true"/>
        <w:snapToGrid w:val="false"/>
        <w:spacing w:lineRule="auto" w:line="276" w:before="119" w:after="119"/>
        <w:ind w:left="0" w:right="0" w:hanging="0"/>
        <w:jc w:val="both"/>
        <w:rPr/>
      </w:pPr>
      <w:r>
        <w:rPr>
          <w:rFonts w:eastAsia="Times New Roman" w:cs="Times New Roman" w:ascii="Calibri" w:hAnsi="Calibri"/>
          <w:color w:val="00000A"/>
          <w:sz w:val="24"/>
          <w:szCs w:val="24"/>
        </w:rPr>
        <w:tab/>
        <w:t xml:space="preserve">10.10.2 É vedado o pagamento de qualquer sobretaxa em relação à tabela adotada, ou do cometimento a terceiros da atribuição de proceder ao credenciamento e/ou intermediação do pagamento dos serviços prestados, sob pena de rescisão do Contrato, na observância do art. 155 da Lei nº 14.133/2021. </w:t>
      </w:r>
    </w:p>
    <w:p>
      <w:pPr>
        <w:pStyle w:val="Normal"/>
        <w:widowControl w:val="false"/>
        <w:numPr>
          <w:ilvl w:val="0"/>
          <w:numId w:val="0"/>
        </w:numPr>
        <w:spacing w:lineRule="auto" w:line="276" w:before="119" w:after="119"/>
        <w:ind w:left="0" w:hanging="0"/>
        <w:jc w:val="both"/>
        <w:rPr/>
      </w:pPr>
      <w:r>
        <w:rPr>
          <w:rFonts w:cs="Times New Roman"/>
          <w:sz w:val="24"/>
          <w:szCs w:val="24"/>
        </w:rPr>
        <w:t>10.11  A Nota Fiscal correspondente à prestação do serviço prestado deverá ser emitida em nome do</w:t>
      </w:r>
      <w:r>
        <w:rPr>
          <w:rFonts w:cs="Times New Roman"/>
          <w:color w:val="000000"/>
          <w:sz w:val="24"/>
          <w:szCs w:val="24"/>
          <w:shd w:fill="auto" w:val="clear"/>
        </w:rPr>
        <w:t xml:space="preserve"> </w:t>
      </w:r>
      <w:r>
        <w:rPr>
          <w:rFonts w:eastAsia="" w:cs="Times New Roman"/>
          <w:color w:val="000000"/>
          <w:kern w:val="0"/>
          <w:sz w:val="24"/>
          <w:szCs w:val="24"/>
          <w:shd w:fill="auto" w:val="clear"/>
          <w:lang w:val="pt-BR" w:eastAsia="pt-BR" w:bidi="ar-SA"/>
        </w:rPr>
        <w:t xml:space="preserve">Centro de Intendência da Marinha em Belém, </w:t>
      </w:r>
      <w:r>
        <w:rPr>
          <w:rFonts w:cs="Times New Roman"/>
          <w:color w:val="000000"/>
          <w:sz w:val="24"/>
          <w:szCs w:val="24"/>
          <w:shd w:fill="auto" w:val="clear"/>
        </w:rPr>
        <w:t xml:space="preserve">portador do </w:t>
      </w:r>
      <w:r>
        <w:rPr>
          <w:rFonts w:cs="Times New Roman"/>
          <w:b/>
          <w:bCs/>
          <w:color w:val="000000"/>
          <w:sz w:val="24"/>
          <w:szCs w:val="24"/>
          <w:shd w:fill="auto" w:val="clear"/>
        </w:rPr>
        <w:t xml:space="preserve">CNPJ nº </w:t>
      </w:r>
      <w:r>
        <w:rPr>
          <w:rFonts w:eastAsia="" w:cs="Times New Roman"/>
          <w:b/>
          <w:bCs/>
          <w:color w:val="000000"/>
          <w:kern w:val="0"/>
          <w:sz w:val="24"/>
          <w:szCs w:val="24"/>
          <w:shd w:fill="auto" w:val="clear"/>
          <w:lang w:val="pt-BR" w:eastAsia="pt-BR" w:bidi="ar-SA"/>
        </w:rPr>
        <w:t>00.394.502/0396-01</w:t>
      </w:r>
      <w:r>
        <w:rPr>
          <w:rFonts w:cs="Times New Roman"/>
          <w:b/>
          <w:bCs/>
          <w:color w:val="000000"/>
          <w:sz w:val="24"/>
          <w:szCs w:val="24"/>
          <w:shd w:fill="auto" w:val="clear"/>
        </w:rPr>
        <w:t>,</w:t>
      </w:r>
      <w:r>
        <w:rPr>
          <w:rFonts w:cs="Times New Roman"/>
          <w:bCs/>
          <w:color w:val="000000"/>
          <w:sz w:val="24"/>
          <w:szCs w:val="24"/>
          <w:shd w:fill="auto" w:val="clear"/>
        </w:rPr>
        <w:t xml:space="preserve"> da q</w:t>
      </w:r>
      <w:r>
        <w:rPr>
          <w:rFonts w:cs="Times New Roman"/>
          <w:bCs/>
          <w:sz w:val="24"/>
          <w:szCs w:val="24"/>
        </w:rPr>
        <w:t xml:space="preserve">ual deverá constar </w:t>
      </w:r>
      <w:r>
        <w:rPr>
          <w:rFonts w:cs="Times New Roman"/>
          <w:sz w:val="24"/>
          <w:szCs w:val="24"/>
        </w:rPr>
        <w:t>o número da Nota de Empenho correspondente e os dados bancários do CREDENCIADO, para crédito em conta corrente do valor devido, assim como a discriminação detalhada dos serviços cobrados.</w:t>
      </w:r>
    </w:p>
    <w:p>
      <w:pPr>
        <w:pStyle w:val="Normal"/>
        <w:widowControl w:val="false"/>
        <w:numPr>
          <w:ilvl w:val="0"/>
          <w:numId w:val="0"/>
        </w:numPr>
        <w:spacing w:lineRule="auto" w:line="276" w:before="119" w:after="119"/>
        <w:ind w:left="0" w:hanging="0"/>
        <w:jc w:val="both"/>
        <w:rPr/>
      </w:pPr>
      <w:r>
        <w:rPr>
          <w:rFonts w:cs="Times New Roman"/>
          <w:sz w:val="24"/>
          <w:szCs w:val="24"/>
        </w:rPr>
        <w:t xml:space="preserve">10.12  O CREDENCIANTE efetuará o pagamento das faturas apresentadas nas condições prescritas, no prazo máximo de </w:t>
      </w:r>
      <w:r>
        <w:rPr>
          <w:rFonts w:cs="Times New Roman"/>
          <w:b/>
          <w:bCs/>
          <w:sz w:val="24"/>
          <w:szCs w:val="24"/>
          <w:u w:val="single"/>
        </w:rPr>
        <w:t>até 30 (trinta) dias</w:t>
      </w:r>
      <w:r>
        <w:rPr>
          <w:rFonts w:cs="Times New Roman"/>
          <w:sz w:val="24"/>
          <w:szCs w:val="24"/>
        </w:rPr>
        <w:t xml:space="preserve">, contado da data de protocolo das faturas no </w:t>
      </w:r>
      <w:r>
        <w:rPr>
          <w:rFonts w:eastAsia="" w:cs="Times New Roman" w:eastAsiaTheme="minorEastAsia"/>
          <w:color w:val="000000"/>
          <w:kern w:val="0"/>
          <w:sz w:val="24"/>
          <w:szCs w:val="24"/>
          <w:shd w:fill="auto" w:val="clear"/>
          <w:lang w:val="pt-BR" w:eastAsia="pt-BR" w:bidi="ar-SA"/>
        </w:rPr>
        <w:t xml:space="preserve">Núcleo de Assistência Social do Comando do 4° Distrito Naval </w:t>
      </w:r>
      <w:r>
        <w:rPr>
          <w:rFonts w:eastAsia="" w:cs="Times New Roman" w:eastAsiaTheme="minorEastAsia"/>
          <w:sz w:val="24"/>
          <w:szCs w:val="24"/>
          <w:shd w:fill="auto" w:val="clear"/>
        </w:rPr>
        <w:t>e</w:t>
      </w:r>
      <w:r>
        <w:rPr>
          <w:rFonts w:cs="Times New Roman"/>
          <w:sz w:val="24"/>
          <w:szCs w:val="24"/>
        </w:rPr>
        <w:t xml:space="preserve"> após a aferição da respectiva lisura.</w:t>
      </w:r>
    </w:p>
    <w:p>
      <w:pPr>
        <w:pStyle w:val="Normal"/>
        <w:widowControl w:val="false"/>
        <w:numPr>
          <w:ilvl w:val="0"/>
          <w:numId w:val="0"/>
        </w:numPr>
        <w:spacing w:lineRule="auto" w:line="276" w:before="119" w:after="119"/>
        <w:ind w:left="0" w:hanging="0"/>
        <w:jc w:val="both"/>
        <w:rPr/>
      </w:pPr>
      <w:r>
        <w:rPr>
          <w:rFonts w:cs="Times New Roman"/>
          <w:sz w:val="24"/>
          <w:szCs w:val="24"/>
        </w:rPr>
        <w:t>10.12.1  Os pagamentos decorrentes de despesas cujos valores não ultrapassem o limite de que trata o inciso II do art. 75 da Lei nº 14.133, de 2021 deverão ser efetuados no prazo de até 5 (cinco) dias úteis, contados da apresentação da fatura.</w:t>
      </w:r>
    </w:p>
    <w:p>
      <w:pPr>
        <w:pStyle w:val="ListParagraph"/>
        <w:widowControl w:val="false"/>
        <w:numPr>
          <w:ilvl w:val="0"/>
          <w:numId w:val="0"/>
        </w:numPr>
        <w:spacing w:lineRule="auto" w:line="276" w:before="0" w:after="119"/>
        <w:ind w:left="0" w:hanging="0"/>
        <w:jc w:val="both"/>
        <w:rPr/>
      </w:pPr>
      <w:r>
        <w:rPr>
          <w:rFonts w:cs="Times New Roman"/>
          <w:sz w:val="24"/>
          <w:szCs w:val="24"/>
        </w:rPr>
        <w:t>10.13  Quando da ocorrência de eventuais atrasos de pagamento provocados exclusivamente pela Administração Pública Federal, o valor devido deverá ser acrescido de compensação financeira e sua apuração se fará desde a data de seu vencimento até a data do efetivo pagamento, em que os juros de mora serão calculados à taxa de 0,5% (meio por cento) ao mês, ou 6% (seis por cento) ao ano, mediante aplicação das seguintes fórmulas:</w:t>
      </w:r>
    </w:p>
    <w:p>
      <w:pPr>
        <w:pStyle w:val="Normal"/>
        <w:spacing w:lineRule="auto" w:line="240" w:before="0" w:after="119"/>
        <w:jc w:val="center"/>
        <w:rPr/>
      </w:pPr>
      <w:r>
        <w:rPr>
          <w:rFonts w:cs="Times New Roman"/>
          <w:sz w:val="24"/>
          <w:szCs w:val="24"/>
        </w:rPr>
        <w:t>I = (TX/100)/365</w:t>
      </w:r>
    </w:p>
    <w:p>
      <w:pPr>
        <w:pStyle w:val="Normal"/>
        <w:spacing w:lineRule="auto" w:line="240" w:before="0" w:after="119"/>
        <w:ind w:left="397" w:hanging="0"/>
        <w:jc w:val="both"/>
        <w:rPr/>
      </w:pPr>
      <w:r>
        <w:rPr>
          <w:rFonts w:cs="Times New Roman"/>
          <w:sz w:val="24"/>
          <w:szCs w:val="24"/>
        </w:rPr>
        <w:tab/>
        <w:tab/>
        <w:t>EM = I x N x VP, onde:</w:t>
      </w:r>
    </w:p>
    <w:p>
      <w:pPr>
        <w:pStyle w:val="Normal"/>
        <w:spacing w:lineRule="auto" w:line="240" w:before="0" w:after="119"/>
        <w:ind w:left="1418" w:hanging="0"/>
        <w:jc w:val="both"/>
        <w:rPr/>
      </w:pPr>
      <w:r>
        <w:rPr>
          <w:rFonts w:cs="Times New Roman"/>
          <w:sz w:val="24"/>
          <w:szCs w:val="24"/>
        </w:rPr>
        <w:t>I = Índice de compensação financeira;</w:t>
      </w:r>
    </w:p>
    <w:p>
      <w:pPr>
        <w:pStyle w:val="Normal"/>
        <w:spacing w:lineRule="auto" w:line="240" w:before="0" w:after="119"/>
        <w:ind w:left="1418" w:hanging="0"/>
        <w:jc w:val="both"/>
        <w:rPr/>
      </w:pPr>
      <w:r>
        <w:rPr>
          <w:rFonts w:cs="Times New Roman"/>
          <w:sz w:val="24"/>
          <w:szCs w:val="24"/>
        </w:rPr>
        <w:t>TX = Percentual da taxa de juros de mora anual;</w:t>
      </w:r>
    </w:p>
    <w:p>
      <w:pPr>
        <w:pStyle w:val="Normal"/>
        <w:spacing w:lineRule="auto" w:line="240" w:before="0" w:after="119"/>
        <w:ind w:left="1418" w:hanging="0"/>
        <w:jc w:val="both"/>
        <w:rPr/>
      </w:pPr>
      <w:r>
        <w:rPr>
          <w:rFonts w:cs="Times New Roman"/>
          <w:sz w:val="24"/>
          <w:szCs w:val="24"/>
        </w:rPr>
        <w:t>EM = Encargos moratórios;</w:t>
      </w:r>
    </w:p>
    <w:p>
      <w:pPr>
        <w:pStyle w:val="Normal"/>
        <w:spacing w:lineRule="auto" w:line="240" w:before="0" w:after="119"/>
        <w:ind w:left="1418" w:hanging="0"/>
        <w:jc w:val="both"/>
        <w:rPr/>
      </w:pPr>
      <w:r>
        <w:rPr>
          <w:rFonts w:cs="Times New Roman"/>
          <w:sz w:val="24"/>
          <w:szCs w:val="24"/>
        </w:rPr>
        <w:t>N = Número de dias entre a data prevista para o pagamento e a do efetivo pagamento;</w:t>
      </w:r>
    </w:p>
    <w:p>
      <w:pPr>
        <w:pStyle w:val="Normal"/>
        <w:spacing w:lineRule="auto" w:line="276" w:before="0" w:after="119"/>
        <w:ind w:left="1418" w:hanging="0"/>
        <w:jc w:val="both"/>
        <w:rPr/>
      </w:pPr>
      <w:r>
        <w:rPr>
          <w:rFonts w:cs="Times New Roman"/>
          <w:sz w:val="24"/>
          <w:szCs w:val="24"/>
        </w:rPr>
        <w:t>VP = Valor da parcela em atraso.</w:t>
      </w:r>
    </w:p>
    <w:p>
      <w:pPr>
        <w:pStyle w:val="ListParagraph"/>
        <w:widowControl w:val="false"/>
        <w:numPr>
          <w:ilvl w:val="0"/>
          <w:numId w:val="0"/>
        </w:numPr>
        <w:spacing w:lineRule="auto" w:line="276" w:before="0" w:after="119"/>
        <w:ind w:left="0" w:hanging="0"/>
        <w:jc w:val="both"/>
        <w:rPr/>
      </w:pPr>
      <w:r>
        <w:rPr>
          <w:rFonts w:cs="Times New Roman"/>
          <w:sz w:val="24"/>
          <w:szCs w:val="24"/>
        </w:rPr>
        <w:t xml:space="preserve">10.14  Os valores </w:t>
      </w:r>
      <w:r>
        <w:rPr>
          <w:rFonts w:cs="Times New Roman"/>
          <w:b/>
          <w:bCs/>
          <w:sz w:val="24"/>
          <w:szCs w:val="24"/>
          <w:u w:val="single"/>
        </w:rPr>
        <w:t>vigentes na data de atendimento</w:t>
      </w:r>
      <w:r>
        <w:rPr>
          <w:rFonts w:cs="Times New Roman"/>
          <w:sz w:val="24"/>
          <w:szCs w:val="24"/>
        </w:rPr>
        <w:t xml:space="preserve"> serão os considerados para a quitação das faturas.</w:t>
      </w:r>
    </w:p>
    <w:p>
      <w:pPr>
        <w:pStyle w:val="ListParagraph"/>
        <w:widowControl w:val="false"/>
        <w:numPr>
          <w:ilvl w:val="0"/>
          <w:numId w:val="0"/>
        </w:numPr>
        <w:spacing w:lineRule="auto" w:line="276" w:before="119" w:after="119"/>
        <w:ind w:left="0" w:hanging="0"/>
        <w:jc w:val="both"/>
        <w:rPr/>
      </w:pPr>
      <w:r>
        <w:rPr>
          <w:rFonts w:cs="Times New Roman"/>
          <w:sz w:val="24"/>
          <w:szCs w:val="24"/>
        </w:rPr>
        <w:t>10.15  A interrupção do tratamento por iniciativa do CREDENCIADO, sem motivo oficialmente justificado, será considerada descumprimento contratual, ensejando as sanções administrativas previstas no Contrato.</w:t>
      </w:r>
    </w:p>
    <w:p>
      <w:pPr>
        <w:pStyle w:val="ListParagraph"/>
        <w:widowControl w:val="false"/>
        <w:numPr>
          <w:ilvl w:val="0"/>
          <w:numId w:val="0"/>
        </w:numPr>
        <w:spacing w:lineRule="auto" w:line="276" w:before="119" w:after="119"/>
        <w:ind w:left="0" w:hanging="0"/>
        <w:jc w:val="both"/>
        <w:rPr/>
      </w:pPr>
      <w:r>
        <w:rPr>
          <w:rFonts w:cs="Times New Roman"/>
          <w:sz w:val="24"/>
          <w:szCs w:val="24"/>
        </w:rPr>
        <w:t>10.16  A interrupção do tratamento por iniciativa do CREDENCIADO, motivada por concessão de férias ou reciclagem dos profissionais ou, ainda, para manutenção de instalações físicas, não dará direito a remuneração pelos serviços contratados, porém não prestados.</w:t>
      </w:r>
    </w:p>
    <w:p>
      <w:pPr>
        <w:pStyle w:val="ListParagraph"/>
        <w:widowControl w:val="false"/>
        <w:numPr>
          <w:ilvl w:val="0"/>
          <w:numId w:val="0"/>
        </w:numPr>
        <w:spacing w:lineRule="auto" w:line="276" w:before="119" w:after="119"/>
        <w:ind w:left="0" w:hanging="0"/>
        <w:jc w:val="both"/>
        <w:rPr/>
      </w:pPr>
      <w:r>
        <w:rPr>
          <w:rFonts w:cs="Times New Roman"/>
          <w:sz w:val="24"/>
          <w:szCs w:val="24"/>
        </w:rPr>
        <w:t>10.17  Sobre o valor devido ao CREDENCIADO, a Administração Pública Federal efetuará a retenção do Imposto sobre a Renda da Pessoa Jurídica (IRPJ), da Contribuição Social sobre o Lucro Líquido (CSLL), da Contribuição para o Financiamento da Seguridade Social (COFINS) e da Contribuição para o PIS/Pasep, conforme disposto na Instrução Normativa da Secretaria da Receita Federal nº 1.234, de 11 de janeiro de 2012.</w:t>
      </w:r>
    </w:p>
    <w:p>
      <w:pPr>
        <w:pStyle w:val="ListParagraph"/>
        <w:widowControl w:val="false"/>
        <w:numPr>
          <w:ilvl w:val="0"/>
          <w:numId w:val="0"/>
        </w:numPr>
        <w:spacing w:lineRule="auto" w:line="276" w:before="119" w:after="119"/>
        <w:ind w:left="0" w:hanging="0"/>
        <w:jc w:val="both"/>
        <w:rPr/>
      </w:pPr>
      <w:r>
        <w:rPr>
          <w:rFonts w:cs="Times New Roman"/>
          <w:sz w:val="24"/>
          <w:szCs w:val="24"/>
        </w:rPr>
        <w:t>10.18  Quanto ao Imposto sobre Serviços de Qualquer Natureza (ISSQN), será observado o disposto na Lei Complementar nº 116, de 2003, e legislação municipal aplicável.</w:t>
      </w:r>
    </w:p>
    <w:p>
      <w:pPr>
        <w:pStyle w:val="ListParagraph"/>
        <w:widowControl w:val="false"/>
        <w:numPr>
          <w:ilvl w:val="0"/>
          <w:numId w:val="0"/>
        </w:numPr>
        <w:spacing w:lineRule="auto" w:line="276" w:before="119" w:after="119"/>
        <w:ind w:left="0" w:hanging="0"/>
        <w:jc w:val="both"/>
        <w:rPr/>
      </w:pPr>
      <w:r>
        <w:rPr>
          <w:rFonts w:cs="Times New Roman"/>
          <w:sz w:val="24"/>
          <w:szCs w:val="24"/>
        </w:rPr>
        <w:t>10.19  O CREDENCIADO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widowControl w:val="false"/>
        <w:numPr>
          <w:ilvl w:val="0"/>
          <w:numId w:val="0"/>
        </w:numPr>
        <w:spacing w:lineRule="auto" w:line="276" w:before="119" w:after="119"/>
        <w:ind w:left="0" w:hanging="0"/>
        <w:jc w:val="both"/>
        <w:rPr/>
      </w:pPr>
      <w:r>
        <w:rPr>
          <w:rFonts w:cs="Times New Roman"/>
          <w:sz w:val="24"/>
          <w:szCs w:val="24"/>
        </w:rPr>
        <w:t>10.20  O procedimento de aferição às faturas dar-se-á da seguinte forma:</w:t>
      </w:r>
    </w:p>
    <w:p>
      <w:pPr>
        <w:pStyle w:val="ListParagraph"/>
        <w:widowControl w:val="false"/>
        <w:spacing w:lineRule="auto" w:line="276" w:before="119" w:after="119"/>
        <w:ind w:left="720" w:hanging="0"/>
        <w:jc w:val="both"/>
        <w:rPr/>
      </w:pPr>
      <w:r>
        <w:rPr>
          <w:rFonts w:cs="Times New Roman"/>
          <w:sz w:val="24"/>
          <w:szCs w:val="24"/>
        </w:rPr>
        <w:tab/>
        <w:t>10.20.1  Somente serão aceitas faturas com as guias originais;</w:t>
      </w:r>
    </w:p>
    <w:p>
      <w:pPr>
        <w:pStyle w:val="ListParagraph"/>
        <w:widowControl w:val="false"/>
        <w:spacing w:lineRule="auto" w:line="276" w:before="119" w:after="119"/>
        <w:ind w:left="720" w:hanging="0"/>
        <w:jc w:val="both"/>
        <w:rPr/>
      </w:pPr>
      <w:r>
        <w:rPr>
          <w:rFonts w:cs="Times New Roman"/>
          <w:sz w:val="24"/>
          <w:szCs w:val="24"/>
        </w:rPr>
        <w:tab/>
        <w:tab/>
        <w:t>10.20.2 As faturas serão auditadas e verificadas eventuais inconformidades e os valores, parcial ou totalmente glosados, serão informados à CREDENCIADA, no prazo de 30 (trinta) dias, com as razões das glosas efetuadas, discriminando o item e o valor destas, através do Relatório de Glosas;</w:t>
      </w:r>
    </w:p>
    <w:p>
      <w:pPr>
        <w:pStyle w:val="ListParagraph"/>
        <w:widowControl w:val="false"/>
        <w:suppressAutoHyphens w:val="true"/>
        <w:bidi w:val="0"/>
        <w:spacing w:lineRule="auto" w:line="276" w:before="119" w:after="119"/>
        <w:ind w:left="720" w:right="0" w:hanging="0"/>
        <w:jc w:val="both"/>
        <w:rPr/>
      </w:pPr>
      <w:r>
        <w:rPr>
          <w:rFonts w:cs="Times New Roman"/>
          <w:sz w:val="24"/>
          <w:szCs w:val="24"/>
        </w:rPr>
        <w:tab/>
        <w:tab/>
        <w:t>10.20.3  A CREDENCIADA deverá notificar o recebimento do Relatório de Glosas, por meio do correio eletrônico, podendo ser enviado o relatório fisicamente, caso seja necessário;</w:t>
      </w:r>
    </w:p>
    <w:p>
      <w:pPr>
        <w:pStyle w:val="ListParagraph"/>
        <w:widowControl w:val="false"/>
        <w:suppressAutoHyphens w:val="true"/>
        <w:bidi w:val="0"/>
        <w:spacing w:lineRule="auto" w:line="276" w:before="119" w:after="119"/>
        <w:ind w:left="720" w:right="0" w:hanging="0"/>
        <w:jc w:val="both"/>
        <w:rPr/>
      </w:pPr>
      <w:r>
        <w:rPr>
          <w:rFonts w:cs="Times New Roman"/>
          <w:sz w:val="24"/>
          <w:szCs w:val="24"/>
        </w:rPr>
        <w:tab/>
        <w:tab/>
        <w:t>10.20.4   O recurso de glosa poderá ser apresentado em até 30 (trinta) dias; após a autorização para emissão da Nota Fiscal; e</w:t>
      </w:r>
    </w:p>
    <w:p>
      <w:pPr>
        <w:pStyle w:val="ListParagraph"/>
        <w:widowControl w:val="false"/>
        <w:suppressAutoHyphens w:val="true"/>
        <w:bidi w:val="0"/>
        <w:spacing w:lineRule="auto" w:line="276" w:before="119" w:after="119"/>
        <w:ind w:left="720" w:right="0" w:hanging="0"/>
        <w:jc w:val="both"/>
        <w:rPr/>
      </w:pPr>
      <w:r>
        <w:rPr>
          <w:rFonts w:cs="Times New Roman"/>
          <w:sz w:val="24"/>
          <w:szCs w:val="24"/>
        </w:rPr>
        <w:tab/>
        <w:tab/>
        <w:t xml:space="preserve">10.20.5  A emissão da Nota Fiscal será autorizada por meio do e-mail  </w:t>
      </w:r>
      <w:hyperlink r:id="rId6">
        <w:r>
          <w:rPr>
            <w:rStyle w:val="LinkdaInternet"/>
            <w:rFonts w:eastAsia="" w:cs="Times New Roman"/>
            <w:color w:val="000000"/>
            <w:kern w:val="0"/>
            <w:sz w:val="24"/>
            <w:szCs w:val="24"/>
            <w:lang w:val="pt-BR" w:eastAsia="pt-BR" w:bidi="ar-SA"/>
          </w:rPr>
          <w:t>camila.holanda@marinha.mil.br</w:t>
        </w:r>
      </w:hyperlink>
      <w:r>
        <w:rPr>
          <w:rFonts w:eastAsia="" w:cs="Times New Roman"/>
          <w:color w:val="000000"/>
          <w:kern w:val="0"/>
          <w:sz w:val="24"/>
          <w:szCs w:val="24"/>
          <w:shd w:fill="auto" w:val="clear"/>
          <w:lang w:val="pt-BR" w:eastAsia="pt-BR" w:bidi="ar-SA"/>
        </w:rPr>
        <w:t>.</w:t>
      </w:r>
    </w:p>
    <w:p>
      <w:pPr>
        <w:pStyle w:val="ListParagraph"/>
        <w:widowControl w:val="false"/>
        <w:spacing w:lineRule="auto" w:line="276" w:before="119" w:after="119"/>
        <w:ind w:left="720" w:hanging="0"/>
        <w:jc w:val="both"/>
        <w:rPr/>
      </w:pPr>
      <w:r>
        <w:rPr>
          <w:rFonts w:eastAsia="" w:cs="Times New Roman"/>
          <w:color w:val="FF0000"/>
          <w:kern w:val="0"/>
          <w:sz w:val="24"/>
          <w:szCs w:val="24"/>
          <w:shd w:fill="auto" w:val="clear"/>
          <w:lang w:val="pt-BR" w:eastAsia="pt-BR" w:bidi="ar-SA"/>
        </w:rPr>
        <w:tab/>
        <w:tab/>
      </w:r>
      <w:r>
        <w:rPr>
          <w:rFonts w:eastAsia="" w:cs="Times New Roman"/>
          <w:color w:val="000000"/>
          <w:kern w:val="0"/>
          <w:sz w:val="24"/>
          <w:szCs w:val="24"/>
          <w:shd w:fill="auto" w:val="clear"/>
          <w:lang w:val="pt-BR" w:eastAsia="pt-BR" w:bidi="ar-SA"/>
        </w:rPr>
        <w:t>10.20.5</w:t>
      </w:r>
      <w:r>
        <w:rPr>
          <w:rFonts w:cs="Times New Roman"/>
          <w:color w:val="000000"/>
          <w:sz w:val="24"/>
          <w:szCs w:val="24"/>
          <w:shd w:fill="auto" w:val="clear"/>
        </w:rPr>
        <w:t>.1 A Nota Fiscal deverá ser emitida com os seguintes dados:</w:t>
      </w:r>
    </w:p>
    <w:p>
      <w:pPr>
        <w:pStyle w:val="Normal"/>
        <w:widowControl w:val="false"/>
        <w:spacing w:lineRule="auto" w:line="276" w:before="119" w:after="119"/>
        <w:ind w:left="3119" w:hanging="992"/>
        <w:jc w:val="both"/>
        <w:rPr/>
      </w:pPr>
      <w:r>
        <w:rPr>
          <w:rFonts w:eastAsia="" w:cs="Times New Roman"/>
          <w:color w:val="000000"/>
          <w:kern w:val="0"/>
          <w:sz w:val="24"/>
          <w:szCs w:val="24"/>
          <w:shd w:fill="auto" w:val="clear"/>
          <w:lang w:val="pt-BR" w:eastAsia="pt-BR" w:bidi="ar-SA"/>
        </w:rPr>
        <w:t>CENTRO DE INTENDÊNCIA DA MARINHA</w:t>
      </w:r>
    </w:p>
    <w:p>
      <w:pPr>
        <w:pStyle w:val="Normal"/>
        <w:widowControl w:val="false"/>
        <w:spacing w:lineRule="auto" w:line="276" w:before="119" w:after="119"/>
        <w:ind w:left="3119" w:hanging="992"/>
        <w:jc w:val="both"/>
        <w:rPr/>
      </w:pPr>
      <w:r>
        <w:rPr>
          <w:rFonts w:cs="Times New Roman"/>
          <w:color w:val="000000"/>
          <w:sz w:val="24"/>
          <w:szCs w:val="24"/>
          <w:shd w:fill="auto" w:val="clear"/>
        </w:rPr>
        <w:t xml:space="preserve">Endereço: Rodovia Arthur </w:t>
      </w:r>
      <w:r>
        <w:rPr>
          <w:rFonts w:cs="Times New Roman"/>
          <w:i/>
          <w:iCs/>
          <w:color w:val="000000"/>
          <w:sz w:val="24"/>
          <w:szCs w:val="24"/>
          <w:shd w:fill="auto" w:val="clear"/>
        </w:rPr>
        <w:t>bernardes, s</w:t>
      </w:r>
      <w:r>
        <w:rPr>
          <w:rFonts w:cs="Times New Roman"/>
          <w:i w:val="false"/>
          <w:iCs w:val="false"/>
          <w:color w:val="000000"/>
          <w:sz w:val="24"/>
          <w:szCs w:val="24"/>
          <w:shd w:fill="auto" w:val="clear"/>
        </w:rPr>
        <w:t>/n° - Val-de-Cans</w:t>
      </w:r>
    </w:p>
    <w:p>
      <w:pPr>
        <w:pStyle w:val="Normal"/>
        <w:widowControl w:val="false"/>
        <w:spacing w:lineRule="auto" w:line="276" w:before="119" w:after="119"/>
        <w:ind w:left="3119" w:hanging="992"/>
        <w:jc w:val="both"/>
        <w:rPr/>
      </w:pPr>
      <w:r>
        <w:rPr>
          <w:rFonts w:cs="Times New Roman"/>
          <w:color w:val="000000"/>
          <w:sz w:val="24"/>
          <w:szCs w:val="24"/>
          <w:shd w:fill="auto" w:val="clear"/>
        </w:rPr>
        <w:t>CEP:  66119-020</w:t>
      </w:r>
    </w:p>
    <w:p>
      <w:pPr>
        <w:pStyle w:val="Normal"/>
        <w:widowControl w:val="false"/>
        <w:spacing w:lineRule="auto" w:line="276" w:before="119" w:after="119"/>
        <w:ind w:left="3119" w:hanging="992"/>
        <w:jc w:val="both"/>
        <w:rPr/>
      </w:pPr>
      <w:r>
        <w:rPr>
          <w:rFonts w:eastAsia="" w:cs="Times New Roman"/>
          <w:color w:val="000000"/>
          <w:kern w:val="0"/>
          <w:sz w:val="24"/>
          <w:szCs w:val="24"/>
          <w:shd w:fill="auto" w:val="clear"/>
          <w:lang w:val="pt-BR" w:eastAsia="pt-BR" w:bidi="ar-SA"/>
        </w:rPr>
        <w:t>BELÉM-PA</w:t>
      </w:r>
    </w:p>
    <w:p>
      <w:pPr>
        <w:pStyle w:val="Normal"/>
        <w:widowControl w:val="false"/>
        <w:spacing w:lineRule="auto" w:line="276" w:before="119" w:after="119"/>
        <w:ind w:left="3119" w:hanging="992"/>
        <w:jc w:val="both"/>
        <w:rPr/>
      </w:pPr>
      <w:r>
        <w:rPr>
          <w:rFonts w:cs="Times New Roman"/>
          <w:color w:val="000000"/>
          <w:sz w:val="24"/>
          <w:szCs w:val="24"/>
          <w:shd w:fill="auto" w:val="clear"/>
        </w:rPr>
        <w:t>CNPJ:  00.394.502/0396-01</w:t>
      </w:r>
    </w:p>
    <w:p>
      <w:pPr>
        <w:pStyle w:val="ListParagraph"/>
        <w:widowControl w:val="false"/>
        <w:spacing w:lineRule="auto" w:line="276" w:before="119" w:after="119"/>
        <w:ind w:left="720" w:hanging="0"/>
        <w:jc w:val="both"/>
        <w:rPr/>
      </w:pPr>
      <w:r>
        <w:rPr>
          <w:rFonts w:cs="Times New Roman"/>
          <w:sz w:val="24"/>
          <w:szCs w:val="24"/>
        </w:rPr>
        <w:tab/>
        <w:tab/>
        <w:tab/>
        <w:t>10.20.5.2  A CREDENCIANTE terá o prazo máximo de 30 (trinta) dias para julgar o recurso de glosa apresentado pela CREDENCIADA.</w:t>
      </w:r>
    </w:p>
    <w:p>
      <w:pPr>
        <w:pStyle w:val="ListParagraph"/>
        <w:widowControl w:val="false"/>
        <w:spacing w:lineRule="auto" w:line="276" w:before="119" w:after="119"/>
        <w:ind w:left="720" w:hanging="0"/>
        <w:jc w:val="both"/>
        <w:rPr/>
      </w:pPr>
      <w:r>
        <w:rPr>
          <w:rFonts w:cs="Times New Roman"/>
          <w:sz w:val="24"/>
          <w:szCs w:val="24"/>
        </w:rPr>
        <w:tab/>
        <w:tab/>
        <w:tab/>
        <w:t>10.20.5.3  Uma vez procedente o recurso da glosa, a CREDENCIANTE efetuará o pagamento. Caso contrário, a CREDENCIANTE informará o resultado à CREDENCIADA e arquivará a documentação.</w:t>
      </w:r>
    </w:p>
    <w:p>
      <w:pPr>
        <w:pStyle w:val="ListParagraph"/>
        <w:widowControl w:val="false"/>
        <w:numPr>
          <w:ilvl w:val="0"/>
          <w:numId w:val="0"/>
        </w:numPr>
        <w:spacing w:lineRule="auto" w:line="276" w:before="119" w:after="119"/>
        <w:ind w:left="0" w:hanging="0"/>
        <w:jc w:val="both"/>
        <w:rPr>
          <w:sz w:val="24"/>
          <w:szCs w:val="24"/>
        </w:rPr>
      </w:pPr>
      <w:r>
        <w:rPr>
          <w:rFonts w:cs="Times New Roman"/>
          <w:sz w:val="24"/>
          <w:szCs w:val="24"/>
        </w:rPr>
        <w:t>10.21  Toda situação anormal, que impossibilite ou prejudique o pagamento das despesas, será imediatamente informada ao CREDENCIADO.</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sz w:val="24"/>
          <w:szCs w:val="24"/>
        </w:rPr>
        <w:t>10.22  A Administração deduzirá do montante a ser pago os valores correspondentes às multas e/ou indenizações devidas por parte do CREDENCIADO.</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sz w:val="24"/>
          <w:szCs w:val="24"/>
        </w:rPr>
        <w:tab/>
        <w:t>10.22.1  O desconto de qualquer valor no pagamento devido ao CREDENCIADO será precedido de processo administrativo em que será garantido o contraditório e a ampla defesa, com os recursos e meios que lhes são inerentes.</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sz w:val="24"/>
          <w:szCs w:val="24"/>
        </w:rPr>
        <w:t>10.23  É vedado ao CREDENCIADO transferir a terceiros os direitos ou créditos decorrentes do contrato.</w:t>
      </w:r>
    </w:p>
    <w:p>
      <w:pPr>
        <w:pStyle w:val="Normal"/>
        <w:widowControl w:val="false"/>
        <w:numPr>
          <w:ilvl w:val="0"/>
          <w:numId w:val="0"/>
        </w:numPr>
        <w:spacing w:lineRule="auto" w:line="276" w:before="120" w:after="120"/>
        <w:ind w:left="0" w:hanging="0"/>
        <w:jc w:val="both"/>
        <w:rPr>
          <w:sz w:val="24"/>
          <w:szCs w:val="24"/>
        </w:rPr>
      </w:pPr>
      <w:r>
        <w:rPr>
          <w:rFonts w:cs="Times New Roman"/>
          <w:b/>
          <w:bCs/>
          <w:color w:val="000000"/>
          <w:sz w:val="24"/>
          <w:szCs w:val="24"/>
          <w:u w:val="none"/>
        </w:rPr>
        <w:t xml:space="preserve">11  </w:t>
      </w:r>
      <w:r>
        <w:rPr>
          <w:rFonts w:cs="Times New Roman"/>
          <w:b w:val="false"/>
          <w:bCs w:val="false"/>
          <w:color w:val="000000"/>
          <w:sz w:val="24"/>
          <w:szCs w:val="24"/>
          <w:u w:val="none"/>
        </w:rPr>
        <w:t xml:space="preserve"> </w:t>
      </w:r>
      <w:r>
        <w:rPr>
          <w:rFonts w:cs="Times New Roman"/>
          <w:b/>
          <w:color w:val="000000"/>
          <w:sz w:val="24"/>
          <w:szCs w:val="24"/>
          <w:u w:val="single"/>
        </w:rPr>
        <w:t>DA ATUALIZAÇÃO DOS PREÇOS.</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color w:val="000000"/>
          <w:sz w:val="24"/>
          <w:szCs w:val="24"/>
        </w:rPr>
        <w:t xml:space="preserve">11.1. Os valores previstos no corpo do Edital e em seus anexos (Apêndice I ao Anexo A), poderão ser atualizados e republicados a qualquer tempo, vinculando os contratos então existentes a partir de sua publicação, </w:t>
      </w:r>
      <w:r>
        <w:rPr>
          <w:rFonts w:cs="Times New Roman"/>
          <w:b/>
          <w:color w:val="000000"/>
          <w:sz w:val="24"/>
          <w:szCs w:val="24"/>
        </w:rPr>
        <w:t xml:space="preserve">tendo como parâmetro pesquisa de preços, nos termos da Instrução Normativa SGSEDGGD/ME 65/2021. </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color w:val="000000"/>
          <w:sz w:val="24"/>
          <w:szCs w:val="24"/>
        </w:rPr>
        <w:t>11.2. A atualização dos valores contratados poderá refletir diminuição dos anteriormente fixados.</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12   </w:t>
      </w:r>
      <w:r>
        <w:rPr>
          <w:rFonts w:cs="Times New Roman"/>
          <w:b/>
          <w:sz w:val="24"/>
          <w:szCs w:val="24"/>
          <w:u w:val="single"/>
        </w:rPr>
        <w:t>DAS OBRIGAÇÕES DO CREDENCIANTE.</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sz w:val="24"/>
          <w:szCs w:val="24"/>
        </w:rPr>
        <w:t>12.1. O CREDENCIANTE</w:t>
      </w:r>
      <w:r>
        <w:rPr>
          <w:rFonts w:cs="Times New Roman"/>
          <w:i/>
          <w:sz w:val="24"/>
          <w:szCs w:val="24"/>
        </w:rPr>
        <w:t xml:space="preserve"> </w:t>
      </w:r>
      <w:r>
        <w:rPr>
          <w:rFonts w:cs="Times New Roman"/>
          <w:sz w:val="24"/>
          <w:szCs w:val="24"/>
        </w:rPr>
        <w:t>obriga-se a:</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sz w:val="24"/>
          <w:szCs w:val="24"/>
        </w:rPr>
        <w:tab/>
        <w:t>12.1.1 Efetuar o pagamento no tempo, lugar e forma estabelecidos no contrato.</w:t>
      </w:r>
    </w:p>
    <w:p>
      <w:pPr>
        <w:pStyle w:val="ListParagraph"/>
        <w:widowControl w:val="false"/>
        <w:spacing w:lineRule="auto" w:line="276" w:before="120" w:after="120"/>
        <w:ind w:left="720" w:hanging="0"/>
        <w:contextualSpacing/>
        <w:jc w:val="both"/>
        <w:rPr>
          <w:sz w:val="24"/>
          <w:szCs w:val="24"/>
        </w:rPr>
      </w:pPr>
      <w:r>
        <w:rPr>
          <w:rFonts w:cs="Times New Roman"/>
          <w:sz w:val="24"/>
          <w:szCs w:val="24"/>
        </w:rPr>
        <w:tab/>
        <w:t>12.1.2 Alocar recursos necessários, de modo a garantir o cumprimento das obrigações assumidas;</w:t>
      </w:r>
    </w:p>
    <w:p>
      <w:pPr>
        <w:pStyle w:val="ListParagraph"/>
        <w:widowControl w:val="false"/>
        <w:spacing w:lineRule="auto" w:line="276" w:before="120" w:after="120"/>
        <w:ind w:left="720" w:hanging="0"/>
        <w:contextualSpacing/>
        <w:jc w:val="both"/>
        <w:rPr>
          <w:sz w:val="24"/>
          <w:szCs w:val="24"/>
        </w:rPr>
      </w:pPr>
      <w:r>
        <w:rPr>
          <w:rFonts w:cs="Times New Roman"/>
          <w:sz w:val="24"/>
          <w:szCs w:val="24"/>
        </w:rPr>
        <w:tab/>
        <w:t>12.1.3 Acompanhar e fiscalizar a execução dos serviços, por intermédio de representante(s) especialmente designado(s), nos termos do art. 10, inciso III, da Lei nº 14.133/2021;</w:t>
      </w:r>
    </w:p>
    <w:p>
      <w:pPr>
        <w:pStyle w:val="ListParagraph"/>
        <w:widowControl w:val="false"/>
        <w:spacing w:lineRule="auto" w:line="276" w:before="120" w:after="120"/>
        <w:ind w:left="720" w:hanging="0"/>
        <w:contextualSpacing/>
        <w:jc w:val="both"/>
        <w:rPr>
          <w:sz w:val="24"/>
          <w:szCs w:val="24"/>
        </w:rPr>
      </w:pPr>
      <w:r>
        <w:rPr>
          <w:rFonts w:cs="Times New Roman"/>
          <w:sz w:val="24"/>
          <w:szCs w:val="24"/>
        </w:rPr>
        <w:tab/>
        <w:t>12.1.4  Efetuar a conferência da Planilha de Serviços Prestados que discrimina os serviços prestados pelo CREDENCIADO, a cada paciente, no prazo máximo de 15 (quinze) dias úteis; e</w:t>
      </w:r>
    </w:p>
    <w:p>
      <w:pPr>
        <w:pStyle w:val="ListParagraph"/>
        <w:widowControl w:val="false"/>
        <w:spacing w:lineRule="auto" w:line="276" w:before="120" w:after="120"/>
        <w:ind w:left="720" w:hanging="0"/>
        <w:contextualSpacing/>
        <w:jc w:val="both"/>
        <w:rPr>
          <w:sz w:val="24"/>
          <w:szCs w:val="24"/>
        </w:rPr>
      </w:pPr>
      <w:r>
        <w:rPr>
          <w:rFonts w:cs="Times New Roman"/>
          <w:sz w:val="24"/>
          <w:szCs w:val="24"/>
        </w:rPr>
        <w:tab/>
        <w:t>12.1.5  Efetuar o pagamento ao CREDENCIADO em até 30 (trinta) dias a contar da Certificação da Nota Fiscal corretamente escriturada.</w:t>
      </w:r>
    </w:p>
    <w:p>
      <w:pPr>
        <w:pStyle w:val="ListParagraph"/>
        <w:widowControl w:val="false"/>
        <w:spacing w:lineRule="auto" w:line="276" w:before="120" w:after="120"/>
        <w:ind w:left="720" w:hanging="0"/>
        <w:contextualSpacing/>
        <w:jc w:val="both"/>
        <w:rPr>
          <w:sz w:val="24"/>
          <w:szCs w:val="24"/>
        </w:rPr>
      </w:pPr>
      <w:r>
        <w:rPr>
          <w:rFonts w:cs="Times New Roman"/>
          <w:sz w:val="24"/>
          <w:szCs w:val="24"/>
        </w:rPr>
        <w:t xml:space="preserve">12.2 A CREDENCIANTE, com o apoio técnico do GAAPE, fará o acompanhamento, o controle, a supervisão e a avaliação técnica e administrativa dos serviços de reabilitação desenvolvidos pela instituição para os usuários do PAE, visando à garantia da qualidade do atendimento e uma reabilitação integradora e global dos mesmos. </w:t>
      </w:r>
    </w:p>
    <w:p>
      <w:pPr>
        <w:pStyle w:val="Normal"/>
        <w:widowControl w:val="false"/>
        <w:numPr>
          <w:ilvl w:val="0"/>
          <w:numId w:val="0"/>
        </w:numPr>
        <w:spacing w:lineRule="auto" w:line="276" w:before="120" w:after="120"/>
        <w:ind w:left="0" w:hanging="0"/>
        <w:jc w:val="both"/>
        <w:rPr>
          <w:sz w:val="24"/>
          <w:szCs w:val="24"/>
        </w:rPr>
      </w:pPr>
      <w:r>
        <w:rPr>
          <w:rFonts w:cs="Times New Roman"/>
          <w:b/>
          <w:bCs/>
          <w:sz w:val="24"/>
          <w:szCs w:val="24"/>
          <w:u w:val="none"/>
        </w:rPr>
        <w:t xml:space="preserve">13   </w:t>
      </w:r>
      <w:r>
        <w:rPr>
          <w:rFonts w:cs="Times New Roman"/>
          <w:b/>
          <w:bCs/>
          <w:sz w:val="24"/>
          <w:szCs w:val="24"/>
          <w:u w:val="single"/>
        </w:rPr>
        <w:t>DAS OBRIGAÇÕES DA CREDENCIADA.</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13.1 A CREDENCIADA deverá atender os usuários do PAE com bom padrão de eficiência e estrita observância ao Código de Ética das respectivas categorias profissionais, sujeitando-se, ainda, às regras de Código de Proteção e Defesa do Consumidor, instituído pela Lei nº 8.078/1990 e da Lei nº 14.133/2021, no que couber.</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13.2 A CREDENCIADA deverá observar os protocolos de segurança para mobilidade e permanência no local de atendimento, dispostos na Lei nº 10.098, de 19 de dezembro de 2000, que estabelece normas gerais e critérios básicos para a promoção da acessibilidade das pessoas portadoras de deficiência ou com mobilidade reduzida;</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13.3 Caso ocorram danos aos usuários do PAE, decorrentes de dolo, negligência, imprudência ou imperícia de seus profissionais ou prepostos, a CREDENCIADA estará sujeita a punições na esfera jurídica no que couber;</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13.4 A CREDENCIADA colocará à disposição dos usuários do PAE somente profissionais registrados em seus respectivos órgãos de classe;</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13.5 Serão prescritos pelo GAAPE apenas serviços com eficácia científica estabelecida e de acordo com as legislações pertinentes;</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13.6 A CREDENCIADA manterá, enquanto durar o acordo, todas as condições de habilitação e qualificação exigidas no Edital que ensejaram o credenciamento da instituição, particularmente no que se refere à atualização de documentos e às condições exigidas por ocasião da realização de visitas de fiscalização. Se, no decorrer da vigência do Termo de Contrato, comprovar-se a má qualidade na prestação dos serviços, obriga-se a CREDENCIADA a refazê-lo, sem qualquer custo adicional para o Com4°DN;</w:t>
      </w:r>
    </w:p>
    <w:p>
      <w:pPr>
        <w:pStyle w:val="Normal"/>
        <w:widowControl w:val="false"/>
        <w:spacing w:lineRule="auto" w:line="276" w:before="120" w:after="120"/>
        <w:ind w:left="0" w:hanging="0"/>
        <w:jc w:val="both"/>
        <w:rPr>
          <w:sz w:val="24"/>
          <w:szCs w:val="24"/>
        </w:rPr>
      </w:pPr>
      <w:r>
        <w:rPr>
          <w:sz w:val="24"/>
          <w:szCs w:val="24"/>
        </w:rPr>
        <w:t xml:space="preserve">13.7 Todas as ocorrências anormais verificadas na execução dos serviços, bem como a mudança de endereço de suas instalações físicas, deverão ser comunicadas ao </w:t>
      </w:r>
      <w:r>
        <w:rPr>
          <w:rFonts w:eastAsia="" w:cs="" w:cstheme="minorBidi" w:eastAsiaTheme="minorEastAsia"/>
          <w:color w:val="auto"/>
          <w:kern w:val="0"/>
          <w:sz w:val="24"/>
          <w:szCs w:val="24"/>
          <w:lang w:val="pt-BR" w:eastAsia="pt-BR" w:bidi="ar-SA"/>
        </w:rPr>
        <w:t>NAS</w:t>
      </w:r>
      <w:r>
        <w:rPr>
          <w:sz w:val="24"/>
          <w:szCs w:val="24"/>
        </w:rPr>
        <w:t>, pela CREDENCIADA, por escrito, de forma clara e detalhada;</w:t>
      </w:r>
    </w:p>
    <w:p>
      <w:pPr>
        <w:pStyle w:val="Normal"/>
        <w:widowControl w:val="false"/>
        <w:spacing w:lineRule="auto" w:line="276" w:before="120" w:after="120"/>
        <w:ind w:left="0" w:hanging="0"/>
        <w:jc w:val="both"/>
        <w:rPr>
          <w:sz w:val="24"/>
          <w:szCs w:val="24"/>
        </w:rPr>
      </w:pPr>
      <w:r>
        <w:rPr>
          <w:sz w:val="24"/>
          <w:szCs w:val="24"/>
        </w:rPr>
        <w:t>13.8 A execução dos serviços nos regimes “ambulatorial” e “externato”, deverão ser realizados pela CREDENCIADA de forma contínua e ininterrupta, de acordo com a prescrição técnica do GAAPE;</w:t>
      </w:r>
    </w:p>
    <w:p>
      <w:pPr>
        <w:pStyle w:val="Normal"/>
        <w:widowControl w:val="false"/>
        <w:spacing w:lineRule="auto" w:line="276" w:before="120" w:after="120"/>
        <w:ind w:left="0" w:hanging="0"/>
        <w:jc w:val="both"/>
        <w:rPr>
          <w:sz w:val="24"/>
          <w:szCs w:val="24"/>
        </w:rPr>
      </w:pPr>
      <w:r>
        <w:rPr>
          <w:sz w:val="24"/>
          <w:szCs w:val="24"/>
        </w:rPr>
        <w:t>13.9 A CREDENCIANTE somente remunerará os serviços efetivamente prestados, não sendo devido pagamento no caso de interrupção imotivada POR PARTE DA CREDENCIADA na execução de serviços, como férias, reciclagem de profissionais ou manutenção de instalações físicas da CREDENCIADA, dentre outros;</w:t>
      </w:r>
    </w:p>
    <w:p>
      <w:pPr>
        <w:pStyle w:val="Normal"/>
        <w:widowControl w:val="false"/>
        <w:spacing w:lineRule="auto" w:line="276" w:before="120" w:after="120"/>
        <w:ind w:left="0" w:hanging="0"/>
        <w:jc w:val="both"/>
        <w:rPr>
          <w:sz w:val="24"/>
          <w:szCs w:val="24"/>
        </w:rPr>
      </w:pPr>
      <w:r>
        <w:rPr>
          <w:sz w:val="24"/>
          <w:szCs w:val="24"/>
        </w:rPr>
        <w:t xml:space="preserve">13.10 Todas as ocorrências anormais verificadas na execução dos serviços, bem como a mudança de endereço de suas instalações físicas, deverão ser comunicadas ao </w:t>
      </w:r>
      <w:r>
        <w:rPr>
          <w:rFonts w:eastAsia="" w:cs="" w:cstheme="minorBidi" w:eastAsiaTheme="minorEastAsia"/>
          <w:color w:val="auto"/>
          <w:kern w:val="0"/>
          <w:sz w:val="24"/>
          <w:szCs w:val="24"/>
          <w:lang w:val="pt-BR" w:eastAsia="pt-BR" w:bidi="ar-SA"/>
        </w:rPr>
        <w:t>NAS</w:t>
      </w:r>
      <w:r>
        <w:rPr>
          <w:sz w:val="24"/>
          <w:szCs w:val="24"/>
        </w:rPr>
        <w:t>, pela CREDENCIADA, por escrito, de forma clara e detalhada;</w:t>
      </w:r>
    </w:p>
    <w:p>
      <w:pPr>
        <w:pStyle w:val="Normal"/>
        <w:widowControl w:val="false"/>
        <w:spacing w:lineRule="auto" w:line="276" w:before="120" w:after="120"/>
        <w:ind w:left="0" w:hanging="0"/>
        <w:jc w:val="both"/>
        <w:rPr>
          <w:sz w:val="24"/>
          <w:szCs w:val="24"/>
        </w:rPr>
      </w:pPr>
      <w:r>
        <w:rPr>
          <w:sz w:val="24"/>
          <w:szCs w:val="24"/>
        </w:rPr>
        <w:t xml:space="preserve">13.11 É proibido que a CREDENCIADA exija que o (a) usuário (a) apresente qualquer tipo de garantia, que não a </w:t>
      </w:r>
      <w:r>
        <w:rPr>
          <w:rFonts w:eastAsia="" w:cs="" w:cstheme="minorBidi" w:eastAsiaTheme="minorEastAsia"/>
          <w:color w:val="auto"/>
          <w:kern w:val="0"/>
          <w:sz w:val="24"/>
          <w:szCs w:val="24"/>
          <w:lang w:val="pt-BR" w:eastAsia="pt-BR" w:bidi="ar-SA"/>
        </w:rPr>
        <w:t>Guia</w:t>
      </w:r>
      <w:r>
        <w:rPr>
          <w:sz w:val="24"/>
          <w:szCs w:val="24"/>
        </w:rPr>
        <w:t xml:space="preserve"> de Apresentação do Usuário, modelo apenso ao Termo de Contrato (Anexo B, do Edital);</w:t>
      </w:r>
    </w:p>
    <w:p>
      <w:pPr>
        <w:pStyle w:val="Normal"/>
        <w:widowControl w:val="false"/>
        <w:spacing w:lineRule="auto" w:line="276" w:before="120" w:after="120"/>
        <w:ind w:left="0" w:hanging="0"/>
        <w:jc w:val="both"/>
        <w:rPr>
          <w:sz w:val="24"/>
          <w:szCs w:val="24"/>
        </w:rPr>
      </w:pPr>
      <w:r>
        <w:rPr>
          <w:sz w:val="24"/>
          <w:szCs w:val="24"/>
        </w:rPr>
        <w:t xml:space="preserve">13.12 O credenciamento celebrado a partir do presente Edital </w:t>
      </w:r>
      <w:r>
        <w:rPr>
          <w:b/>
          <w:bCs/>
          <w:sz w:val="24"/>
          <w:szCs w:val="24"/>
        </w:rPr>
        <w:t>terá sua vigência de até 05</w:t>
      </w:r>
      <w:r>
        <w:rPr>
          <w:sz w:val="24"/>
          <w:szCs w:val="24"/>
        </w:rPr>
        <w:t xml:space="preserve"> </w:t>
      </w:r>
      <w:r>
        <w:rPr>
          <w:b/>
          <w:bCs/>
          <w:sz w:val="24"/>
          <w:szCs w:val="24"/>
        </w:rPr>
        <w:t>(cinco) anos de sua assinatura</w:t>
      </w:r>
      <w:r>
        <w:rPr>
          <w:sz w:val="24"/>
          <w:szCs w:val="24"/>
        </w:rPr>
        <w:t xml:space="preserve">, podendo ser prorrogado sucessivamente, respeitada a </w:t>
      </w:r>
      <w:r>
        <w:rPr>
          <w:b/>
          <w:bCs/>
          <w:sz w:val="24"/>
          <w:szCs w:val="24"/>
          <w:u w:val="single"/>
        </w:rPr>
        <w:t>vigência máxima decenal</w:t>
      </w:r>
      <w:r>
        <w:rPr>
          <w:sz w:val="24"/>
          <w:szCs w:val="24"/>
        </w:rPr>
        <w:t>; e</w:t>
      </w:r>
    </w:p>
    <w:p>
      <w:pPr>
        <w:pStyle w:val="Normal"/>
        <w:widowControl w:val="false"/>
        <w:spacing w:lineRule="auto" w:line="276" w:before="120" w:after="120"/>
        <w:ind w:left="0" w:hanging="0"/>
        <w:jc w:val="both"/>
        <w:rPr>
          <w:sz w:val="24"/>
          <w:szCs w:val="24"/>
        </w:rPr>
      </w:pPr>
      <w:r>
        <w:rPr>
          <w:sz w:val="24"/>
          <w:szCs w:val="24"/>
        </w:rPr>
        <w:t xml:space="preserve">13.13 IMPORTANTE: a </w:t>
      </w:r>
      <w:r>
        <w:rPr>
          <w:b/>
          <w:bCs/>
          <w:sz w:val="24"/>
          <w:szCs w:val="24"/>
        </w:rPr>
        <w:t>absorção de novos (as) usuários (as) pela CREDENCIADA</w:t>
      </w:r>
      <w:r>
        <w:rPr>
          <w:sz w:val="24"/>
          <w:szCs w:val="24"/>
        </w:rPr>
        <w:t xml:space="preserve"> somente será autorizada </w:t>
      </w:r>
      <w:r>
        <w:rPr>
          <w:b/>
          <w:bCs/>
          <w:sz w:val="24"/>
          <w:szCs w:val="24"/>
        </w:rPr>
        <w:t>até o 5º dia útil do mês,</w:t>
      </w:r>
      <w:r>
        <w:rPr>
          <w:sz w:val="24"/>
          <w:szCs w:val="24"/>
        </w:rPr>
        <w:t xml:space="preserve"> </w:t>
      </w:r>
      <w:r>
        <w:rPr>
          <w:sz w:val="24"/>
          <w:szCs w:val="24"/>
          <w:u w:val="single"/>
        </w:rPr>
        <w:t xml:space="preserve">independentemente da data em que for emitida a Guia de Apresentação pelo </w:t>
      </w:r>
      <w:r>
        <w:rPr>
          <w:rFonts w:eastAsia="" w:cs="" w:cstheme="minorBidi" w:eastAsiaTheme="minorEastAsia"/>
          <w:color w:val="auto"/>
          <w:kern w:val="0"/>
          <w:sz w:val="24"/>
          <w:szCs w:val="24"/>
          <w:u w:val="single"/>
          <w:lang w:val="pt-BR" w:eastAsia="pt-BR" w:bidi="ar-SA"/>
        </w:rPr>
        <w:t>NAS</w:t>
      </w:r>
      <w:r>
        <w:rPr>
          <w:sz w:val="24"/>
          <w:szCs w:val="24"/>
          <w:u w:val="single"/>
        </w:rPr>
        <w:t>.</w:t>
      </w:r>
    </w:p>
    <w:p>
      <w:pPr>
        <w:pStyle w:val="Normal"/>
        <w:widowControl w:val="false"/>
        <w:spacing w:lineRule="auto" w:line="276" w:before="120" w:after="120"/>
        <w:ind w:left="0" w:hanging="0"/>
        <w:jc w:val="both"/>
        <w:rPr>
          <w:sz w:val="24"/>
          <w:szCs w:val="24"/>
        </w:rPr>
      </w:pPr>
      <w:r>
        <w:rPr>
          <w:sz w:val="24"/>
          <w:szCs w:val="24"/>
        </w:rPr>
        <w:t>13.14 Os critérios gerais a serem adotados pelas CREDENCIADAS são:</w:t>
      </w:r>
    </w:p>
    <w:p>
      <w:pPr>
        <w:pStyle w:val="Normal"/>
        <w:widowControl w:val="false"/>
        <w:spacing w:lineRule="auto" w:line="276" w:before="120" w:after="120"/>
        <w:ind w:left="0" w:hanging="0"/>
        <w:jc w:val="both"/>
        <w:rPr>
          <w:sz w:val="24"/>
          <w:szCs w:val="24"/>
        </w:rPr>
      </w:pPr>
      <w:r>
        <w:rPr>
          <w:sz w:val="24"/>
          <w:szCs w:val="24"/>
        </w:rPr>
        <w:tab/>
        <w:t>13.14.1 Abrangência na oferta de serviços e de profissionais habilitados ao atendimento dos diferentes tipos de deficiências, conforme detalhamento constante no apêndice V (Diretrizes para adequação em ambientes terapêuticos);</w:t>
      </w:r>
    </w:p>
    <w:p>
      <w:pPr>
        <w:pStyle w:val="Normal"/>
        <w:widowControl w:val="false"/>
        <w:spacing w:lineRule="auto" w:line="276" w:before="120" w:after="120"/>
        <w:ind w:left="0" w:hanging="0"/>
        <w:jc w:val="both"/>
        <w:rPr>
          <w:sz w:val="24"/>
          <w:szCs w:val="24"/>
        </w:rPr>
      </w:pPr>
      <w:r>
        <w:rPr>
          <w:sz w:val="24"/>
          <w:szCs w:val="24"/>
        </w:rPr>
        <w:tab/>
        <w:t>13.14.2 Possibilidade de oferecer terapias que permitam ao usuário do PAE atingir metas de habilitação para a vida, para o exercício do autocuidado ou para o exercício de atividades produtivas;</w:t>
      </w:r>
    </w:p>
    <w:p>
      <w:pPr>
        <w:pStyle w:val="Normal"/>
        <w:widowControl w:val="false"/>
        <w:spacing w:lineRule="auto" w:line="276" w:before="120" w:after="120"/>
        <w:ind w:left="0" w:hanging="0"/>
        <w:jc w:val="both"/>
        <w:rPr>
          <w:sz w:val="24"/>
          <w:szCs w:val="24"/>
        </w:rPr>
      </w:pPr>
      <w:r>
        <w:rPr>
          <w:sz w:val="24"/>
          <w:szCs w:val="24"/>
        </w:rPr>
        <w:tab/>
        <w:t>13.14.3 Possibilidade de oferecer exclusividade no atendimento de algum tipo de deficiência;</w:t>
      </w:r>
    </w:p>
    <w:p>
      <w:pPr>
        <w:pStyle w:val="Normal"/>
        <w:widowControl w:val="false"/>
        <w:spacing w:lineRule="auto" w:line="276" w:before="120" w:after="120"/>
        <w:ind w:left="0" w:hanging="0"/>
        <w:jc w:val="both"/>
        <w:rPr>
          <w:sz w:val="24"/>
          <w:szCs w:val="24"/>
        </w:rPr>
      </w:pPr>
      <w:r>
        <w:rPr>
          <w:sz w:val="24"/>
          <w:szCs w:val="24"/>
        </w:rPr>
        <w:tab/>
        <w:t>13.14.4 Instalações e materiais adequados para o atendimento proposto pela instituição, conforme apêndice V (Diretrizes para adequação em ambientes terapêuticos);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13.14.5 A instituição colocará à disposição dos usuários do PAE serviços de Atenção Especializada em Habilitação e Reabilitação nos limites de sua capacitação técnica, nos termos das diretrizes da Política Nacional de Saúde, e em consonância com as Políticas Públicas vigentes no país para as Pessoas com Deficiências, em observância dos termos estabelecidos no Edital de Credenciamento e nas Leis e Normas relacionadas no citado Edital;</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13.14.6 A instituição deverá oferecer um ou mais serviços especializados de acordo com o diagnóstico clínico ou funcional do usuário do PAE, emitido pelo GAAPE </w:t>
      </w:r>
      <w:r>
        <w:rPr>
          <w:rFonts w:eastAsia="" w:cs="Times New Roman" w:eastAsiaTheme="minorEastAsia"/>
          <w:b w:val="false"/>
          <w:bCs w:val="false"/>
          <w:color w:val="auto"/>
          <w:kern w:val="0"/>
          <w:sz w:val="24"/>
          <w:szCs w:val="24"/>
          <w:u w:val="none"/>
          <w:lang w:val="pt-BR" w:eastAsia="pt-BR" w:bidi="ar-SA"/>
        </w:rPr>
        <w:t>do Hospital Naval de Belém (HNBE)</w:t>
      </w:r>
      <w:r>
        <w:rPr>
          <w:rFonts w:cs="Times New Roman"/>
          <w:b w:val="false"/>
          <w:bCs w:val="false"/>
          <w:sz w:val="24"/>
          <w:szCs w:val="24"/>
          <w:u w:val="none"/>
        </w:rPr>
        <w:t>, o qual definirá a condução do tratamento a ser cumprido pela credenciada, conforme modelo apêndice II (Folha de Avaliação); 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13.14.7 Oferecer sessões de atendimento, como prescrito pelo GAAPE, com </w:t>
      </w:r>
      <w:r>
        <w:rPr>
          <w:rFonts w:cs="Times New Roman"/>
          <w:b/>
          <w:bCs/>
          <w:sz w:val="24"/>
          <w:szCs w:val="24"/>
          <w:u w:val="none"/>
        </w:rPr>
        <w:t>duração mínima de 40 (quarenta) minutos cada sessão</w:t>
      </w:r>
      <w:r>
        <w:rPr>
          <w:rFonts w:cs="Times New Roman"/>
          <w:b w:val="false"/>
          <w:bCs w:val="false"/>
          <w:sz w:val="24"/>
          <w:szCs w:val="24"/>
          <w:u w:val="none"/>
        </w:rPr>
        <w:t>.</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13.15 Os critérios específicos a serem cumpridos pela CREDENCIADA, em consonância com a Política Nacional de Saúde para as Pessoas com Deficiências são os seguintes: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13.15.1 Possuir abordagem multiprofissional e interdisciplinar, quando pessoa jurídica de serviços de Atenção Especializada em Habilitação e Reabilitação, de modo a garantir tanto a sua qualidade, quanto o princípio da integralidade;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13.15.2 Promover habilidades individuais que favoreçam o desenvolvimento das potencialidades desses pacientes, estimulando, quando possível, a independência e a inclusão social desse segmento;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13.15.3 Possuir ambientes favoráveis à saúde, tais como: boa iluminação, aeração e adaptação dos diferentes espaços, eliminando-se barreiras arquitetônicas que dificultem a efetiva integração e inclusão. No conjunto dessas facilidades estão a construção de rampas, corrimãos e adaptações de banheiros para deficientes físicos;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13.15.4 Oferecer instalações que observem os padrões legais de segurança, compreendendo, por exemplo, a colocação de telas de proteção nas janelas, corrimãos nas escadas e telas e/ou grades em piscinas, medidas estas que não excluem todas as outras que minimizem os riscos de acidentes com os usuários;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13.15.5 Adotar a premissa de que a reabilitação constitui um processo sistêmico, em que o usuário do PAE e sua família deverão ser trabalhados simultaneamente;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13.15.6 Estimular as famílias das pessoas com deficiências a adotarem práticas, estilos e hábitos de vida saudáveis, utilizando seus próprios meios, disponibilizados pela instituição, visando a prevenção de agravos de deficiências já instaladas;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13.15.7 Respeitar as especificidades de cada caso e as áreas das deficiências, dispondo de implementos tecnológicos para tratamento em reabilitação, adequados ao nível de complexidade a que se destinam; 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13.15.8 Adotar métodos ou técnicas com respaldo em referencial teórico, para intervenções especializadas.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13.16 A CREDENCIADA deverá, ainda:</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13.16.1 Considerar, na oferta de serviços ao </w:t>
      </w:r>
      <w:r>
        <w:rPr>
          <w:rFonts w:eastAsia="" w:cs="Times New Roman" w:eastAsiaTheme="minorEastAsia"/>
          <w:b w:val="false"/>
          <w:bCs w:val="false"/>
          <w:color w:val="auto"/>
          <w:kern w:val="0"/>
          <w:sz w:val="24"/>
          <w:szCs w:val="24"/>
          <w:u w:val="none"/>
          <w:lang w:val="pt-BR" w:eastAsia="pt-BR" w:bidi="ar-SA"/>
        </w:rPr>
        <w:t>NAS</w:t>
      </w:r>
      <w:r>
        <w:rPr>
          <w:rFonts w:cs="Times New Roman"/>
          <w:b w:val="false"/>
          <w:bCs w:val="false"/>
          <w:sz w:val="24"/>
          <w:szCs w:val="24"/>
          <w:u w:val="none"/>
        </w:rPr>
        <w:t>, a garantia de atendimento dos diferentes graus de deficiência para os tipos de incapacidade, incluindo a atenção a pacientes com grande nível de dependência, bem como o conjunto de suas necessidades no âmbito da saúde;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13.16.2 Formar equipes interdisciplinares, compostas por profissionais tais como: fisioterapeutas, fonoaudiólogos, psicopedagogos, psicomotricistas, terapeutas ocupacionais, pedagogos, psicólogos, professores, musicoterapeutas, etc., os quais deverão ser submetidos, regularmente, a cursos de atualização. A equipe de apoio deverá possuir capacitação para as atividades que a instituição utilizar;</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13.16.3 Obter autorização junto aos responsáveis pelos usuários do PAE para utilização da imagem, nos casos em que for relatar experiências exitosas em reabilitação ou disseminar qualquer informação relativa à saúde da pessoa com deficiência, observando também a ética profissional das categorias em vigor;</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13.16.4 Acompanhar a periodicidade da reavaliação descrita nos apêndices II e III, do anexo A, deste Edital, informando ao usuário do PAE, pelo menos noventa dias antes do prazo estabelecido, a necessidade de reagendamento da reavaliação junto ao GAAPE. Na ocasião, as CREDENCIADAS deverão entregar, em mãos, aos responsáveis pelos (as) usuários (as), um relatório técnico sobre cada modalidade de atendimento para que as famílias levem em mãos ao GAAPE, no dia da reavaliação clínica. Este relatório conterá observações relativas a objetivos terapêuticos, evolução do caso, assiduidade, cooperação da família, possibilidade de reintegração social, diagnóstico ou hipótese diagnóstica, duração e frequência dos atendimentos. Constarão, também as assinaturas dos responsáveis técnicos pelas informações e os respectivos números de registro profissional nos Conselhos Regionais;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ab/>
        <w:t xml:space="preserve">13.16.4.1 As reavaliações são agendadas diretamente no GAAPE, por meio de contatos disponibilizados pelo mesmo e/ou pelo </w:t>
      </w:r>
      <w:r>
        <w:rPr>
          <w:rFonts w:eastAsia="" w:cs="Times New Roman" w:eastAsiaTheme="minorEastAsia"/>
          <w:b w:val="false"/>
          <w:bCs w:val="false"/>
          <w:color w:val="auto"/>
          <w:kern w:val="0"/>
          <w:sz w:val="24"/>
          <w:szCs w:val="24"/>
          <w:u w:val="none"/>
          <w:lang w:val="pt-BR" w:eastAsia="pt-BR" w:bidi="ar-SA"/>
        </w:rPr>
        <w:t>NAS</w:t>
      </w:r>
      <w:r>
        <w:rPr>
          <w:rFonts w:cs="Times New Roman"/>
          <w:b w:val="false"/>
          <w:bCs w:val="false"/>
          <w:sz w:val="24"/>
          <w:szCs w:val="24"/>
          <w:u w:val="none"/>
        </w:rPr>
        <w:t xml:space="preserve">, e </w:t>
      </w:r>
      <w:r>
        <w:rPr>
          <w:rFonts w:cs="Times New Roman"/>
          <w:b/>
          <w:bCs/>
          <w:sz w:val="24"/>
          <w:szCs w:val="24"/>
          <w:u w:val="single"/>
        </w:rPr>
        <w:t>é responsabilidade das famílias dos (as) usuários (as) o agendamento da reavaliação</w:t>
      </w:r>
      <w:r>
        <w:rPr>
          <w:rFonts w:cs="Times New Roman"/>
          <w:b w:val="false"/>
          <w:bCs w:val="false"/>
          <w:sz w:val="24"/>
          <w:szCs w:val="24"/>
          <w:u w:val="none"/>
        </w:rPr>
        <w:t>. As CREDENCIADAS possuem o dever de assessorar e apoiar as famílias;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 xml:space="preserve">13.17  Estimular a participação ativa da família no processo terapêutico; </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13.18 Utilizar recursos humanos e materiais em número suficiente para a quantidade da clientela que se propõe a atender; oficinas integrativas de habilitações variadas, para o processo terapêutico; e equipes de apoio constituídas por pessoal de nível médio treinado e, quando necessário, complementadas por estagiários universitários que deverão receber supervisão direta das próprias universidades e da instituição.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13.19  Fica estabelecido ainda que caberá à CREDENCIADA as seguintes obrigações: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13.19.1 Responder por acidentes ocorridos com pessoas e bens, decorrentes direta ou indiretamente de ato ou omissão de seu funcionário ou preposto a seu serviço;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13.19.2 Indenizar ou reparar todos e quaisquer acidentes decorrentes de imperícia de seu pessoal;</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13.19.3 Executar os atendimentos através de pessoas legalmente qualificadas, assumindo total responsabilidade por quaisquer danos ou faltas que os mesmos venham a cometer no desempenho de suas funções;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13.19.4 Respeitar e fazer com que seu pessoal respeite a legislação de segurança, higiene e medicina do trabalho, fornecendo todo o equipamento de proteção individual que se fizer necessário;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13.19.5 Manter instalações, equipamentos e mobiliários em condições de uso, respeitando as normas de segurança e higiene;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13.19.6 Montar um arquivo com a ficha histórico e prontuário de cada paciente, onde serão realizados todos os registros relativos ao seu tratamento e evolução;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13.19.7 Em caso de emergência de saúde, providenciar contato imediato com o responsável, ou pessoas designadas pelo responsável no caso de sua ausência, e remover o paciente para o hospital público mais próximo da CREDENCIADA ou hospital geral autorizado previamente pelo responsável legal e/ou representante da CREDENCIADA;</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13.19.8 Comunicar à CREDENCIANTE todas as providências adotadas no caso de ocorrência de irregularidades e/ou interrupções havidas na prestação de atendimentos;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13.19.9 Preencher e restituir, num prazo máximo de trinta dias, documentos apresentados pela CREDENCIANTE, elaborados para o acompanhamento de cada caso;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13.19.10 Permitir, a qualquer tempo, o acesso de elementos credenciados pelo </w:t>
      </w:r>
      <w:r>
        <w:rPr>
          <w:rFonts w:eastAsia="" w:cs="Times New Roman" w:eastAsiaTheme="minorEastAsia"/>
          <w:b w:val="false"/>
          <w:bCs w:val="false"/>
          <w:color w:val="auto"/>
          <w:kern w:val="0"/>
          <w:sz w:val="24"/>
          <w:szCs w:val="24"/>
          <w:u w:val="none"/>
          <w:lang w:val="pt-BR" w:eastAsia="pt-BR" w:bidi="ar-SA"/>
        </w:rPr>
        <w:t>Com4°DN</w:t>
      </w:r>
      <w:r>
        <w:rPr>
          <w:rFonts w:cs="Times New Roman"/>
          <w:b w:val="false"/>
          <w:bCs w:val="false"/>
          <w:sz w:val="24"/>
          <w:szCs w:val="24"/>
          <w:u w:val="none"/>
        </w:rPr>
        <w:t xml:space="preserve"> às suas dependências, prestando-lhes as informações solicitadas;</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13.19.11 Manter atualizada, junto à CREDENCIANTE, uma relação nominal de seu pessoal técnico, bem como cópia da carteira do profissional no registro da entidade competente. </w:t>
      </w:r>
      <w:r>
        <w:rPr>
          <w:rFonts w:cs="Times New Roman"/>
          <w:b w:val="false"/>
          <w:bCs w:val="false"/>
          <w:sz w:val="24"/>
          <w:szCs w:val="24"/>
          <w:u w:val="single"/>
        </w:rPr>
        <w:t>Caso haja alteração da equipe técnica, a CREDENCIANTE deverá encaminhar para o Fiscal de Contrato todas as documentações atinentes aos novos profissionais</w:t>
      </w:r>
      <w:r>
        <w:rPr>
          <w:rFonts w:cs="Times New Roman"/>
          <w:b w:val="false"/>
          <w:bCs w:val="false"/>
          <w:sz w:val="24"/>
          <w:szCs w:val="24"/>
          <w:u w:val="none"/>
        </w:rPr>
        <w:t>;</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13.19.12 Prestar aos usuários do PAE, tratamento idêntico e com o mesmo padrão de eficiência do dispensado aos particulares, constituindo causa para rescisão do Termo de Contrato qualquer tipo de discriminação;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13.19.13 Não exigir que o usuário assine as Fichas de Frequência em branco ou antes do serviço prestado;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13.19.14 Não aceitar documento diferente da </w:t>
      </w:r>
      <w:r>
        <w:rPr>
          <w:rFonts w:eastAsia="" w:cs="Times New Roman" w:eastAsiaTheme="minorEastAsia"/>
          <w:b w:val="false"/>
          <w:bCs w:val="false"/>
          <w:color w:val="auto"/>
          <w:kern w:val="0"/>
          <w:sz w:val="24"/>
          <w:szCs w:val="24"/>
          <w:u w:val="none"/>
          <w:lang w:val="pt-BR" w:eastAsia="pt-BR" w:bidi="ar-SA"/>
        </w:rPr>
        <w:t>Guia</w:t>
      </w:r>
      <w:r>
        <w:rPr>
          <w:rFonts w:cs="Times New Roman"/>
          <w:b w:val="false"/>
          <w:bCs w:val="false"/>
          <w:sz w:val="24"/>
          <w:szCs w:val="24"/>
          <w:u w:val="none"/>
        </w:rPr>
        <w:t xml:space="preserve"> de Apresentação do Usuário, Apêndice IV, de forma que somente deverá ser prestado atendimento aqueles usuários portadores das devidas </w:t>
      </w:r>
      <w:r>
        <w:rPr>
          <w:rFonts w:eastAsia="" w:cs="Times New Roman" w:eastAsiaTheme="minorEastAsia"/>
          <w:b w:val="false"/>
          <w:bCs w:val="false"/>
          <w:color w:val="auto"/>
          <w:kern w:val="0"/>
          <w:sz w:val="24"/>
          <w:szCs w:val="24"/>
          <w:u w:val="none"/>
          <w:lang w:val="pt-BR" w:eastAsia="pt-BR" w:bidi="ar-SA"/>
        </w:rPr>
        <w:t>Guias</w:t>
      </w:r>
      <w:r>
        <w:rPr>
          <w:rFonts w:cs="Times New Roman"/>
          <w:b w:val="false"/>
          <w:bCs w:val="false"/>
          <w:sz w:val="24"/>
          <w:szCs w:val="24"/>
          <w:u w:val="none"/>
        </w:rPr>
        <w:t xml:space="preserve"> assinadas pela CREDENCIANTE;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13.19.15 Zelar pela qualidade dos serviços prestados, obrigando-se ainda a manter, durante a vigência do Termo de Contrato, todas as condições de habilitação e qualificação exigidas neste Edital que ensejaram o credenciamento da instituição, particularmente no que se refere à atualização de documentos e às condições exigidas por ocasião da realização de inspeções. Se, no decorrer da vigência do Termo de Contrato, comprovar-se a má qualidade na prestação dos serviços, obriga-se a CREDENCIADA a refazê-lo, sem qualquer custo adicional para a CREDENCIANTE;</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13.19.16 Manter sigilo, sob pena de responsabilidade civil, penal e administrativa, sobre todo e qualquer assunto de interesse da CREDENCIANTE ou de terceiros de que tomar conhecimento em razão da execução do objeto deste Termo de Contrato, devendo orientar seus empregados neste sentido;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13.19.17 Manter atualizado o endereço comercial, o e-mail e os telefones de contato; </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13.19.18 Vedação expressa do pagamento de qualquer sobretaxa em relação à tabela adotada; ou do cometimento a terceiros (associação de servidores, por exemplo) da atribuição de proceder ao credenciamento e/ou intermediação do pagamento dos serviços prestados; </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 xml:space="preserve">13.19.19 Iniciar as terapias prescritas pelo GAAPE para o paciente, </w:t>
      </w:r>
      <w:r>
        <w:rPr>
          <w:rFonts w:cs="Times New Roman"/>
          <w:b/>
          <w:bCs/>
          <w:sz w:val="24"/>
          <w:szCs w:val="24"/>
          <w:u w:val="none"/>
        </w:rPr>
        <w:t xml:space="preserve">no prazo máximo de 30 (trinta) dias após o recebimento da </w:t>
      </w:r>
      <w:r>
        <w:rPr>
          <w:rFonts w:eastAsia="" w:cs="Times New Roman" w:eastAsiaTheme="minorEastAsia"/>
          <w:b/>
          <w:bCs/>
          <w:color w:val="auto"/>
          <w:kern w:val="0"/>
          <w:sz w:val="24"/>
          <w:szCs w:val="24"/>
          <w:u w:val="none"/>
          <w:lang w:val="pt-BR" w:eastAsia="pt-BR" w:bidi="ar-SA"/>
        </w:rPr>
        <w:t>Guia de Apresentação do Usuário</w:t>
      </w:r>
      <w:r>
        <w:rPr>
          <w:rFonts w:cs="Times New Roman"/>
          <w:b w:val="false"/>
          <w:bCs w:val="false"/>
          <w:sz w:val="24"/>
          <w:szCs w:val="24"/>
          <w:u w:val="none"/>
        </w:rPr>
        <w:t xml:space="preserve"> (apêndice </w:t>
      </w:r>
      <w:r>
        <w:rPr>
          <w:rFonts w:eastAsia="" w:cs="Times New Roman" w:eastAsiaTheme="minorEastAsia"/>
          <w:b w:val="false"/>
          <w:bCs w:val="false"/>
          <w:color w:val="auto"/>
          <w:kern w:val="0"/>
          <w:sz w:val="24"/>
          <w:szCs w:val="24"/>
          <w:u w:val="none"/>
          <w:lang w:val="pt-BR" w:eastAsia="pt-BR" w:bidi="ar-SA"/>
        </w:rPr>
        <w:t>IV</w:t>
      </w:r>
      <w:r>
        <w:rPr>
          <w:rFonts w:cs="Times New Roman"/>
          <w:b w:val="false"/>
          <w:bCs w:val="false"/>
          <w:sz w:val="24"/>
          <w:szCs w:val="24"/>
          <w:u w:val="none"/>
        </w:rPr>
        <w:t>, do anexo A, deste Edital).</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13.19.20 Indicar formalmente à Administração Pública Federal os prepostos e/ou responsáveis pela prestação dos serviços, contendo o nome completo, função, número da carteira de identidade, CPF, endereço residencial e telefone. Este profissional responderá e atenderá a todas as demandas inerentes às atividades descritas no Contrato e no Projeto Básico, realizando todos os atos necessários ao seu cumprimento;</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13.19.21 Manter disponibilidade de mão de obra dentro dos padrões quantitativo e qualitativo suficientes para atender a demanda ordinária, assumindo total responsabilidade por quaisquer danos ou faltas que os mesmos venham a cometer no desempenho de suas funções, bem como eventuais acréscimos solicitados pela Administração Pública Federal, respeitadas as disposições da legislação trabalhista vigente;</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ab/>
        <w:t>13.19.22 Arcar com o custo do fornecimento de uniformes e equipamentos de proteção individual (EPI) para a mão de obra envolvida, sendo vedado o repasse de tal custo ao CREDENCIANTE, respeitando e fazendo com que seu pessoal respeite a legislação de segurança, higiene e medicina do trabalho;</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ab/>
        <w:t>13.19.23 Efetuar a reposição da mão de obra nos serviços, em caráter imediato, em eventual ausência;</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ab/>
        <w:t>13.19.24 Atender de imediato as solicitações relativas à substituição de mão de obra desqualificada ou entendida por parte da Administração Pública Federal como inadequada para a prestação dos serviços;</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ab/>
        <w:t>13.19.25 Instruir o seu preposto quanto à necessidade de acatar as orientações da Administração Pública Federal, inclusive quanto ao cumprimento das Normas Internas e de Segurança e Saúde Ocupacional;</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ab/>
        <w:t>13.19.26 Relatar à Administração Pública Federal toda e qualquer irregularidade nos serviços prestados;</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ab/>
        <w:t>13.19.27 Responsabilizar-se pelos encargos trabalhistas, previdenciários e fiscais resultantes da execução do contrato, nos termos da legislação aplicável;</w:t>
      </w:r>
    </w:p>
    <w:p>
      <w:pPr>
        <w:pStyle w:val="Normal"/>
        <w:widowControl w:val="false"/>
        <w:spacing w:lineRule="auto" w:line="276" w:before="120" w:after="120"/>
        <w:ind w:left="0" w:hanging="0"/>
        <w:jc w:val="both"/>
        <w:rPr>
          <w:b w:val="false"/>
          <w:b w:val="false"/>
          <w:bCs w:val="false"/>
          <w:u w:val="none"/>
        </w:rPr>
      </w:pPr>
      <w:r>
        <w:rPr>
          <w:rFonts w:cs="Times New Roman"/>
          <w:b w:val="false"/>
          <w:bCs w:val="false"/>
          <w:sz w:val="24"/>
          <w:szCs w:val="24"/>
          <w:u w:val="none"/>
        </w:rPr>
        <w:tab/>
        <w:t>13.19.28 Manter, durante a execução do contrato, todas as condições exigidas para habilitação e qualificação no presente Edital.</w:t>
      </w:r>
    </w:p>
    <w:p>
      <w:pPr>
        <w:pStyle w:val="Normal"/>
        <w:widowControl w:val="false"/>
        <w:spacing w:lineRule="auto" w:line="276" w:before="120" w:after="120"/>
        <w:ind w:left="0" w:hanging="0"/>
        <w:jc w:val="both"/>
        <w:rPr>
          <w:b w:val="false"/>
          <w:b w:val="false"/>
          <w:bCs w:val="false"/>
          <w:sz w:val="24"/>
          <w:szCs w:val="24"/>
          <w:u w:val="none"/>
        </w:rPr>
      </w:pPr>
      <w:r>
        <w:rPr>
          <w:b w:val="false"/>
          <w:bCs w:val="false"/>
          <w:sz w:val="24"/>
          <w:szCs w:val="24"/>
          <w:u w:val="none"/>
        </w:rPr>
        <w:tab/>
        <w:tab/>
        <w:t>13.19.28.1 Nesse caso, é vedada a retenção de pagamento se o contratado não incorrer em qualquer inexecução do serviço;</w:t>
      </w:r>
    </w:p>
    <w:p>
      <w:pPr>
        <w:pStyle w:val="Normal"/>
        <w:widowControl w:val="false"/>
        <w:spacing w:lineRule="auto" w:line="276" w:before="119" w:after="119"/>
        <w:ind w:left="0" w:hanging="0"/>
        <w:jc w:val="both"/>
        <w:rPr>
          <w:b w:val="false"/>
          <w:b w:val="false"/>
          <w:bCs w:val="false"/>
          <w:sz w:val="24"/>
          <w:szCs w:val="24"/>
          <w:u w:val="none"/>
        </w:rPr>
      </w:pPr>
      <w:r>
        <w:rPr>
          <w:b w:val="false"/>
          <w:bCs w:val="false"/>
          <w:sz w:val="24"/>
          <w:szCs w:val="24"/>
          <w:u w:val="none"/>
        </w:rPr>
        <w:tab/>
        <w:tab/>
        <w:t>13.19.28.2 A Administração poderá conceder um prazo para que o CREDENCIADO regularize suas condições de habilitação, sob pena de rescisão contratual, quando não identificar má-fé ou a incapacidade da empresa de corrigir a situação.</w:t>
      </w:r>
    </w:p>
    <w:p>
      <w:pPr>
        <w:pStyle w:val="Normal"/>
        <w:widowControl w:val="false"/>
        <w:spacing w:lineRule="auto" w:line="276" w:before="119" w:after="119"/>
        <w:ind w:left="0" w:hanging="0"/>
        <w:jc w:val="both"/>
        <w:rPr/>
      </w:pPr>
      <w:r>
        <w:rPr>
          <w:b w:val="false"/>
          <w:bCs w:val="false"/>
          <w:sz w:val="24"/>
          <w:szCs w:val="24"/>
          <w:u w:val="none"/>
        </w:rPr>
        <w:t>13.20 Responder por acidentes ocorridos com pessoas e bens, decorrentes direta ou indiretamente de ato ou omissão de seu funcionário ou preposto a seu serviço.</w:t>
      </w:r>
    </w:p>
    <w:p>
      <w:pPr>
        <w:pStyle w:val="Normal"/>
        <w:widowControl w:val="false"/>
        <w:numPr>
          <w:ilvl w:val="0"/>
          <w:numId w:val="0"/>
        </w:numPr>
        <w:spacing w:lineRule="auto" w:line="276" w:before="119" w:after="119"/>
        <w:ind w:left="0" w:hanging="0"/>
        <w:jc w:val="both"/>
        <w:rPr/>
      </w:pPr>
      <w:r>
        <w:rPr>
          <w:rFonts w:cs="Times New Roman"/>
          <w:b/>
          <w:sz w:val="24"/>
          <w:szCs w:val="24"/>
          <w:u w:val="none"/>
        </w:rPr>
        <w:t xml:space="preserve">14   </w:t>
      </w:r>
      <w:r>
        <w:rPr>
          <w:rFonts w:cs="Times New Roman"/>
          <w:b/>
          <w:sz w:val="24"/>
          <w:szCs w:val="24"/>
          <w:u w:val="single"/>
        </w:rPr>
        <w:t>DAS SANÇÕES.</w:t>
      </w:r>
    </w:p>
    <w:p>
      <w:pPr>
        <w:pStyle w:val="ListParagraph"/>
        <w:widowControl w:val="false"/>
        <w:numPr>
          <w:ilvl w:val="0"/>
          <w:numId w:val="0"/>
        </w:numPr>
        <w:spacing w:lineRule="auto" w:line="276" w:before="119" w:after="119"/>
        <w:ind w:left="0" w:hanging="0"/>
        <w:jc w:val="both"/>
        <w:rPr/>
      </w:pPr>
      <w:r>
        <w:rPr>
          <w:rFonts w:cs="Times New Roman"/>
          <w:sz w:val="24"/>
          <w:szCs w:val="24"/>
        </w:rPr>
        <w:t>14.1 O CREDENCIADO será responsabilizado administrativamente nas seguintes hipóteses:</w:t>
      </w:r>
    </w:p>
    <w:p>
      <w:pPr>
        <w:pStyle w:val="ListParagraph"/>
        <w:widowControl w:val="false"/>
        <w:numPr>
          <w:ilvl w:val="0"/>
          <w:numId w:val="0"/>
        </w:numPr>
        <w:spacing w:lineRule="auto" w:line="276" w:before="119" w:after="119"/>
        <w:ind w:left="0" w:hanging="0"/>
        <w:jc w:val="both"/>
        <w:rPr/>
      </w:pPr>
      <w:r>
        <w:rPr>
          <w:rFonts w:cs="Times New Roman"/>
          <w:sz w:val="24"/>
          <w:szCs w:val="24"/>
        </w:rPr>
        <w:tab/>
        <w:t>14.1.1  dar causa à inexecução parcial do contrato;</w:t>
      </w:r>
    </w:p>
    <w:p>
      <w:pPr>
        <w:pStyle w:val="ListParagraph"/>
        <w:widowControl w:val="false"/>
        <w:numPr>
          <w:ilvl w:val="0"/>
          <w:numId w:val="0"/>
        </w:numPr>
        <w:spacing w:lineRule="auto" w:line="276" w:before="119" w:after="119"/>
        <w:ind w:left="0" w:hanging="0"/>
        <w:jc w:val="both"/>
        <w:rPr/>
      </w:pPr>
      <w:r>
        <w:rPr>
          <w:rFonts w:cs="Times New Roman"/>
          <w:sz w:val="24"/>
          <w:szCs w:val="24"/>
        </w:rPr>
        <w:tab/>
        <w:t>14.1.2 dar causa à inexecução parcial do contrato que cause grave dano à Administração, ao funcionamento dos serviços públicos ou ao interesse coletivo;</w:t>
      </w:r>
    </w:p>
    <w:p>
      <w:pPr>
        <w:pStyle w:val="ListParagraph"/>
        <w:widowControl w:val="false"/>
        <w:numPr>
          <w:ilvl w:val="0"/>
          <w:numId w:val="0"/>
        </w:numPr>
        <w:spacing w:lineRule="auto" w:line="276" w:before="119" w:after="119"/>
        <w:ind w:left="0" w:hanging="0"/>
        <w:jc w:val="both"/>
        <w:rPr/>
      </w:pPr>
      <w:r>
        <w:rPr>
          <w:rFonts w:cs="Times New Roman"/>
          <w:sz w:val="24"/>
          <w:szCs w:val="24"/>
        </w:rPr>
        <w:tab/>
        <w:t>14.1.3  dar causa à inexecução total do contrato;</w:t>
      </w:r>
    </w:p>
    <w:p>
      <w:pPr>
        <w:pStyle w:val="ListParagraph"/>
        <w:widowControl w:val="false"/>
        <w:numPr>
          <w:ilvl w:val="0"/>
          <w:numId w:val="0"/>
        </w:numPr>
        <w:spacing w:lineRule="auto" w:line="276" w:before="119" w:after="119"/>
        <w:ind w:left="0" w:hanging="0"/>
        <w:jc w:val="both"/>
        <w:rPr/>
      </w:pPr>
      <w:r>
        <w:rPr>
          <w:rFonts w:cs="Times New Roman"/>
          <w:sz w:val="24"/>
          <w:szCs w:val="24"/>
        </w:rPr>
        <w:tab/>
        <w:t>14.1.4 ensejar o retardamento da execução ou da entrega do objeto da licitação sem motivo justificado;</w:t>
      </w:r>
    </w:p>
    <w:p>
      <w:pPr>
        <w:pStyle w:val="ListParagraph"/>
        <w:widowControl w:val="false"/>
        <w:numPr>
          <w:ilvl w:val="0"/>
          <w:numId w:val="0"/>
        </w:numPr>
        <w:spacing w:lineRule="auto" w:line="276" w:before="119" w:after="119"/>
        <w:ind w:left="0" w:hanging="0"/>
        <w:jc w:val="both"/>
        <w:rPr/>
      </w:pPr>
      <w:r>
        <w:rPr>
          <w:rFonts w:cs="Times New Roman"/>
          <w:sz w:val="24"/>
          <w:szCs w:val="24"/>
        </w:rPr>
        <w:tab/>
        <w:t>14.1.5 apresentar declaração ou documentação falsa exigida para o credenciamento ou prestar declaração falsa durante credenciamento ou a execução do contrato;</w:t>
      </w:r>
    </w:p>
    <w:p>
      <w:pPr>
        <w:pStyle w:val="ListParagraph"/>
        <w:widowControl w:val="false"/>
        <w:numPr>
          <w:ilvl w:val="0"/>
          <w:numId w:val="0"/>
        </w:numPr>
        <w:spacing w:lineRule="auto" w:line="276" w:before="119" w:after="119"/>
        <w:ind w:left="0" w:hanging="0"/>
        <w:jc w:val="both"/>
        <w:rPr/>
      </w:pPr>
      <w:r>
        <w:rPr>
          <w:rFonts w:cs="Times New Roman"/>
          <w:sz w:val="24"/>
          <w:szCs w:val="24"/>
        </w:rPr>
        <w:tab/>
        <w:t>14.1.6 fraudar o credenciamento ou praticar ato fraudulento na execução do contrato;</w:t>
      </w:r>
    </w:p>
    <w:p>
      <w:pPr>
        <w:pStyle w:val="ListParagraph"/>
        <w:widowControl w:val="false"/>
        <w:numPr>
          <w:ilvl w:val="0"/>
          <w:numId w:val="0"/>
        </w:numPr>
        <w:spacing w:lineRule="auto" w:line="276" w:before="119" w:after="119"/>
        <w:ind w:left="0" w:hanging="0"/>
        <w:jc w:val="both"/>
        <w:rPr/>
      </w:pPr>
      <w:r>
        <w:rPr>
          <w:rFonts w:cs="Times New Roman"/>
          <w:sz w:val="24"/>
          <w:szCs w:val="24"/>
        </w:rPr>
        <w:tab/>
        <w:t>14.1.7 comportar-se de modo inidôneo ou cometer fraude de qualquer natureza;</w:t>
      </w:r>
    </w:p>
    <w:p>
      <w:pPr>
        <w:pStyle w:val="ListParagraph"/>
        <w:widowControl w:val="false"/>
        <w:numPr>
          <w:ilvl w:val="0"/>
          <w:numId w:val="0"/>
        </w:numPr>
        <w:spacing w:lineRule="auto" w:line="276" w:before="119" w:after="119"/>
        <w:ind w:left="0" w:hanging="0"/>
        <w:jc w:val="both"/>
        <w:rPr/>
      </w:pPr>
      <w:r>
        <w:rPr>
          <w:rFonts w:cs="Times New Roman"/>
          <w:sz w:val="24"/>
          <w:szCs w:val="24"/>
        </w:rPr>
        <w:tab/>
        <w:t>14.1.8 praticar atos ilícitos com vistas a frustrar os objetivos do credenciamento; e</w:t>
      </w:r>
    </w:p>
    <w:p>
      <w:pPr>
        <w:pStyle w:val="ListParagraph"/>
        <w:widowControl w:val="false"/>
        <w:numPr>
          <w:ilvl w:val="0"/>
          <w:numId w:val="0"/>
        </w:numPr>
        <w:spacing w:lineRule="auto" w:line="276" w:before="119" w:after="119"/>
        <w:ind w:left="0" w:hanging="0"/>
        <w:jc w:val="both"/>
        <w:rPr/>
      </w:pPr>
      <w:r>
        <w:rPr>
          <w:rFonts w:cs="Times New Roman"/>
          <w:sz w:val="24"/>
          <w:szCs w:val="24"/>
        </w:rPr>
        <w:tab/>
        <w:t>14.1.9 praticar ato lesivo previsto no art. 5º da Lei nº 12.846, de 1º de agosto de 2013.</w:t>
      </w:r>
    </w:p>
    <w:p>
      <w:pPr>
        <w:pStyle w:val="ListParagraph"/>
        <w:widowControl w:val="false"/>
        <w:spacing w:lineRule="auto" w:line="276" w:before="119" w:after="119"/>
        <w:ind w:left="720" w:hanging="0"/>
        <w:jc w:val="both"/>
        <w:rPr/>
      </w:pPr>
      <w:r>
        <w:rPr>
          <w:sz w:val="24"/>
          <w:szCs w:val="24"/>
        </w:rPr>
        <w:t>14.2 Pelo atraso injustificado na execução das obrigações decorrentes do contrato, o CREDENCIADO estará sujeito às seguintes multas:</w:t>
      </w:r>
    </w:p>
    <w:p>
      <w:pPr>
        <w:pStyle w:val="ListParagraph"/>
        <w:widowControl w:val="false"/>
        <w:spacing w:lineRule="auto" w:line="276" w:before="119" w:after="119"/>
        <w:ind w:left="720" w:hanging="0"/>
        <w:jc w:val="both"/>
        <w:rPr/>
      </w:pPr>
      <w:r>
        <w:rPr>
          <w:sz w:val="24"/>
          <w:szCs w:val="24"/>
        </w:rPr>
        <w:tab/>
        <w:t>14.2.1 Multa, prevista no art. 156, II da Lei nº 14.133, de 2021, será calculada no percentual de 0,5% (cinco décimos por cento) sobre o valor do serviço em mora, por dia de atraso até o limite de 30 (trinta) dias;</w:t>
      </w:r>
    </w:p>
    <w:p>
      <w:pPr>
        <w:pStyle w:val="ListParagraph"/>
        <w:widowControl w:val="false"/>
        <w:spacing w:lineRule="auto" w:line="276" w:before="119" w:after="119"/>
        <w:ind w:left="720" w:hanging="0"/>
        <w:jc w:val="both"/>
        <w:rPr/>
      </w:pPr>
      <w:r>
        <w:rPr>
          <w:sz w:val="24"/>
          <w:szCs w:val="24"/>
        </w:rPr>
        <w:tab/>
        <w:t>14.2.2 Multa, prevista no art. 156, II da Lei nº 14.133, de 2021, será calculada no percentual de 0,5% (cinco décimos por cento) sobre o valor do serviço em mora, incidente a partir do 31º (trigésimo primeiro) dia, nas hipóteses de atraso por período superior ao previsto no item acima, limitado em até 60 (sessenta) dias;</w:t>
      </w:r>
    </w:p>
    <w:p>
      <w:pPr>
        <w:pStyle w:val="ListParagraph"/>
        <w:widowControl w:val="false"/>
        <w:spacing w:lineRule="auto" w:line="276" w:before="119" w:after="119"/>
        <w:ind w:left="720" w:hanging="0"/>
        <w:jc w:val="both"/>
        <w:rPr/>
      </w:pPr>
      <w:r>
        <w:rPr>
          <w:sz w:val="24"/>
          <w:szCs w:val="24"/>
        </w:rPr>
        <w:tab/>
        <w:t>14.2.3 As multas acima não impedem que a Administração Pública Federal rescinda unilateralmente o contrato e aplique as outras sanções previstas neste Edital.</w:t>
      </w:r>
    </w:p>
    <w:p>
      <w:pPr>
        <w:pStyle w:val="ListParagraph"/>
        <w:widowControl w:val="false"/>
        <w:numPr>
          <w:ilvl w:val="0"/>
          <w:numId w:val="0"/>
        </w:numPr>
        <w:spacing w:lineRule="auto" w:line="276" w:before="119" w:after="119"/>
        <w:ind w:left="0" w:hanging="0"/>
        <w:jc w:val="both"/>
        <w:rPr/>
      </w:pPr>
      <w:r>
        <w:rPr>
          <w:rFonts w:cs="Times New Roman"/>
          <w:sz w:val="24"/>
          <w:szCs w:val="24"/>
        </w:rPr>
        <w:t>14.3 O descumprimento das obrigações contratuais, inclusive sua inexecução, total ou parcial, e/ou das condições previstas neste Edital sujeitará o CREDENCIADO, na forma do disposto no art. 156, da Lei nº 14.133, de 2021, às seguintes penalidades:</w:t>
      </w:r>
    </w:p>
    <w:p>
      <w:pPr>
        <w:pStyle w:val="Normal"/>
        <w:widowControl w:val="false"/>
        <w:spacing w:lineRule="auto" w:line="276" w:before="119" w:after="119"/>
        <w:ind w:left="709" w:hanging="0"/>
        <w:jc w:val="both"/>
        <w:rPr/>
      </w:pPr>
      <w:r>
        <w:rPr>
          <w:rFonts w:cs="Times New Roman"/>
          <w:sz w:val="24"/>
          <w:szCs w:val="24"/>
        </w:rPr>
        <w:t xml:space="preserve">14.3.1. Advertência; </w:t>
      </w:r>
    </w:p>
    <w:p>
      <w:pPr>
        <w:pStyle w:val="Normal"/>
        <w:widowControl w:val="false"/>
        <w:spacing w:lineRule="auto" w:line="276" w:before="119" w:after="119"/>
        <w:ind w:hanging="0"/>
        <w:jc w:val="both"/>
        <w:rPr/>
      </w:pPr>
      <w:r>
        <w:rPr>
          <w:rFonts w:cs="Times New Roman"/>
          <w:sz w:val="24"/>
          <w:szCs w:val="24"/>
        </w:rPr>
        <w:tab/>
        <w:t xml:space="preserve">14.3.2. Multa, </w:t>
      </w:r>
      <w:r>
        <w:rPr>
          <w:rFonts w:cs="Times New Roman"/>
          <w:color w:val="000000"/>
          <w:sz w:val="24"/>
          <w:szCs w:val="24"/>
        </w:rPr>
        <w:t>que não poderá ser inferior a 0,5% (cinco décimos por cento) nem superior a 30% (trinta por cento) do valor do contrato</w:t>
      </w:r>
      <w:r>
        <w:rPr>
          <w:rFonts w:cs="Times New Roman"/>
          <w:sz w:val="24"/>
          <w:szCs w:val="24"/>
        </w:rPr>
        <w:t xml:space="preserve">; </w:t>
      </w:r>
    </w:p>
    <w:p>
      <w:pPr>
        <w:pStyle w:val="Normal"/>
        <w:widowControl w:val="false"/>
        <w:spacing w:lineRule="auto" w:line="276" w:before="120" w:after="120"/>
        <w:ind w:hanging="0"/>
        <w:jc w:val="both"/>
        <w:rPr>
          <w:sz w:val="24"/>
          <w:szCs w:val="24"/>
        </w:rPr>
      </w:pPr>
      <w:r>
        <w:rPr>
          <w:rFonts w:cs="Times New Roman"/>
          <w:sz w:val="24"/>
          <w:szCs w:val="24"/>
        </w:rPr>
        <w:tab/>
        <w:t>14.3.3. Impedimento de licitar e contratar no âmbito da Administração Pública Federal direta e indireta, pelo prazo mínimo de 3 (três) anos e máximo de 6 (seis) anos; e</w:t>
      </w:r>
    </w:p>
    <w:p>
      <w:pPr>
        <w:pStyle w:val="Normal"/>
        <w:widowControl w:val="false"/>
        <w:spacing w:lineRule="auto" w:line="276" w:before="120" w:after="120"/>
        <w:ind w:hanging="0"/>
        <w:jc w:val="both"/>
        <w:rPr>
          <w:sz w:val="24"/>
          <w:szCs w:val="24"/>
        </w:rPr>
      </w:pPr>
      <w:r>
        <w:rPr>
          <w:rFonts w:cs="Times New Roman"/>
          <w:sz w:val="24"/>
          <w:szCs w:val="24"/>
        </w:rPr>
        <w:tab/>
        <w:t>14.3.4. Declaração de inidoneidade para licitar ou contratar com a Administração Pública direta ou indireta de todos os entes federados, pelo prazo mínimo de 3 (três) anos e máximo de 6 (seis) anos.</w:t>
      </w:r>
    </w:p>
    <w:p>
      <w:pPr>
        <w:pStyle w:val="ListParagraph"/>
        <w:widowControl w:val="false"/>
        <w:numPr>
          <w:ilvl w:val="0"/>
          <w:numId w:val="0"/>
        </w:numPr>
        <w:spacing w:lineRule="auto" w:line="276" w:before="120" w:after="120"/>
        <w:ind w:left="0" w:hanging="0"/>
        <w:contextualSpacing/>
        <w:jc w:val="both"/>
        <w:rPr>
          <w:sz w:val="24"/>
          <w:szCs w:val="24"/>
        </w:rPr>
      </w:pPr>
      <w:r>
        <w:rPr>
          <w:rFonts w:cs="Times New Roman"/>
          <w:sz w:val="24"/>
          <w:szCs w:val="24"/>
        </w:rPr>
        <w:t>14.4 As sanções de impedimento de licitar e contratar e de declaração de inidoneidade para licitar ou contratar com a Administração Pública poderão também ser aplicadas às empresas ou aos profissionais que, em razão dos contratos regidos por esta Lei:</w:t>
      </w:r>
    </w:p>
    <w:p>
      <w:pPr>
        <w:pStyle w:val="Normal"/>
        <w:widowControl w:val="false"/>
        <w:spacing w:lineRule="auto" w:line="276" w:before="120" w:after="120"/>
        <w:ind w:hanging="0"/>
        <w:jc w:val="both"/>
        <w:rPr>
          <w:sz w:val="24"/>
          <w:szCs w:val="24"/>
        </w:rPr>
      </w:pPr>
      <w:r>
        <w:rPr>
          <w:rFonts w:cs="Times New Roman"/>
          <w:sz w:val="24"/>
          <w:szCs w:val="24"/>
        </w:rPr>
        <w:tab/>
        <w:t>14.4.1. Tenham sofrido condenação definitiva por praticarem, por meios dolosos, fraude fiscal no recolhimento de quaisquer tributos;</w:t>
      </w:r>
    </w:p>
    <w:p>
      <w:pPr>
        <w:pStyle w:val="Normal"/>
        <w:widowControl w:val="false"/>
        <w:spacing w:lineRule="auto" w:line="276" w:before="120" w:after="120"/>
        <w:ind w:hanging="0"/>
        <w:jc w:val="both"/>
        <w:rPr>
          <w:sz w:val="24"/>
          <w:szCs w:val="24"/>
        </w:rPr>
      </w:pPr>
      <w:r>
        <w:rPr>
          <w:rFonts w:cs="Times New Roman"/>
          <w:sz w:val="24"/>
          <w:szCs w:val="24"/>
        </w:rPr>
        <w:tab/>
        <w:t>14.4.2. Tenham praticado atos ilícitos visando a frustrar os objetivos do credenciamento;</w:t>
      </w:r>
    </w:p>
    <w:p>
      <w:pPr>
        <w:pStyle w:val="Normal"/>
        <w:widowControl w:val="false"/>
        <w:spacing w:lineRule="auto" w:line="276" w:before="120" w:after="120"/>
        <w:ind w:hanging="0"/>
        <w:jc w:val="both"/>
        <w:rPr>
          <w:sz w:val="24"/>
          <w:szCs w:val="24"/>
        </w:rPr>
      </w:pPr>
      <w:r>
        <w:rPr>
          <w:rFonts w:cs="Times New Roman"/>
          <w:sz w:val="24"/>
          <w:szCs w:val="24"/>
        </w:rPr>
        <w:tab/>
        <w:t>14.4.3. Demonstrem não possuir idoneidade para contratar com a Administração em virtude de atos ilícitos praticados.</w:t>
      </w:r>
    </w:p>
    <w:p>
      <w:pPr>
        <w:pStyle w:val="ListParagraph"/>
        <w:widowControl w:val="false"/>
        <w:numPr>
          <w:ilvl w:val="0"/>
          <w:numId w:val="0"/>
        </w:numPr>
        <w:spacing w:lineRule="auto" w:line="276" w:before="119" w:after="119"/>
        <w:ind w:left="0" w:hanging="0"/>
        <w:jc w:val="both"/>
        <w:rPr>
          <w:sz w:val="24"/>
          <w:szCs w:val="24"/>
        </w:rPr>
      </w:pPr>
      <w:r>
        <w:rPr>
          <w:rFonts w:cs="Times New Roman"/>
          <w:sz w:val="24"/>
          <w:szCs w:val="24"/>
        </w:rPr>
        <w:t>14.5 As penalidades serão aplicadas após regular processo administrativo, em que seja assegurado ao licitante o contraditório e a ampla defesa, com os meios e recursos que lhes são inerentes.</w:t>
      </w:r>
    </w:p>
    <w:p>
      <w:pPr>
        <w:pStyle w:val="ListParagraph"/>
        <w:widowControl w:val="false"/>
        <w:numPr>
          <w:ilvl w:val="0"/>
          <w:numId w:val="0"/>
        </w:numPr>
        <w:spacing w:lineRule="auto" w:line="276" w:before="119" w:after="119"/>
        <w:ind w:left="0" w:hanging="0"/>
        <w:jc w:val="both"/>
        <w:rPr/>
      </w:pPr>
      <w:r>
        <w:rPr>
          <w:rFonts w:cs="Times New Roman"/>
          <w:sz w:val="24"/>
          <w:szCs w:val="24"/>
        </w:rPr>
        <w:t>14.6  A multa será descontada da garantia do contrato e de pagamentos eventualmente devidos pela Administração Pública Federal ou cobrada judicialmente.</w:t>
      </w:r>
    </w:p>
    <w:p>
      <w:pPr>
        <w:pStyle w:val="ListParagraph"/>
        <w:widowControl w:val="false"/>
        <w:numPr>
          <w:ilvl w:val="0"/>
          <w:numId w:val="0"/>
        </w:numPr>
        <w:spacing w:lineRule="auto" w:line="276" w:before="119" w:after="119"/>
        <w:ind w:left="0" w:hanging="0"/>
        <w:jc w:val="both"/>
        <w:rPr/>
      </w:pPr>
      <w:r>
        <w:rPr>
          <w:rFonts w:cs="Times New Roman"/>
          <w:sz w:val="24"/>
          <w:szCs w:val="24"/>
        </w:rPr>
        <w:t>14.7  As sanções previstas nos subitens</w:t>
      </w:r>
      <w:r>
        <w:rPr>
          <w:rFonts w:cs="Times New Roman"/>
          <w:color w:val="000000"/>
          <w:sz w:val="24"/>
          <w:szCs w:val="24"/>
        </w:rPr>
        <w:t xml:space="preserve"> 14.3.1, 14.3.3 e 14.3.4 poderão ser aplicadas juntamente com a do subitem 14.3.2, facultada a defesa p</w:t>
      </w:r>
      <w:r>
        <w:rPr>
          <w:rFonts w:cs="Times New Roman"/>
          <w:sz w:val="24"/>
          <w:szCs w:val="24"/>
        </w:rPr>
        <w:t>révia do interessado, no respectivo processo, no prazo legal.</w:t>
      </w:r>
    </w:p>
    <w:p>
      <w:pPr>
        <w:pStyle w:val="ListParagraph"/>
        <w:widowControl w:val="false"/>
        <w:numPr>
          <w:ilvl w:val="0"/>
          <w:numId w:val="0"/>
        </w:numPr>
        <w:spacing w:lineRule="auto" w:line="276" w:before="119" w:after="119"/>
        <w:ind w:left="0" w:hanging="0"/>
        <w:jc w:val="both"/>
        <w:rPr/>
      </w:pPr>
      <w:r>
        <w:rPr>
          <w:rFonts w:cs="Times New Roman"/>
          <w:sz w:val="24"/>
          <w:szCs w:val="24"/>
        </w:rPr>
        <w:t>14.8  A sanção de declaração de inidoneidade para licitar ou contratar com a Administração Pública é de competência do Ministro de Estado da Defesa, precedida de análise jurídica e facultada a defesa do interessado no respectivo processo, no prazo legal.</w:t>
      </w:r>
    </w:p>
    <w:p>
      <w:pPr>
        <w:pStyle w:val="ListParagraph"/>
        <w:widowControl w:val="false"/>
        <w:numPr>
          <w:ilvl w:val="0"/>
          <w:numId w:val="0"/>
        </w:numPr>
        <w:spacing w:lineRule="auto" w:line="276" w:before="119" w:after="119"/>
        <w:ind w:left="0" w:hanging="0"/>
        <w:jc w:val="both"/>
        <w:rPr/>
      </w:pPr>
      <w:r>
        <w:rPr>
          <w:rFonts w:cs="Times New Roman"/>
          <w:sz w:val="24"/>
          <w:szCs w:val="24"/>
        </w:rPr>
        <w:t>14.9  As demais sanções são de competência exclusiva do Comandante do 4° Distrito Naval.</w:t>
      </w:r>
    </w:p>
    <w:p>
      <w:pPr>
        <w:pStyle w:val="Normal"/>
        <w:widowControl w:val="false"/>
        <w:numPr>
          <w:ilvl w:val="0"/>
          <w:numId w:val="0"/>
        </w:numPr>
        <w:spacing w:lineRule="auto" w:line="276" w:before="119" w:after="119"/>
        <w:ind w:left="0" w:hanging="0"/>
        <w:jc w:val="both"/>
        <w:rPr/>
      </w:pPr>
      <w:r>
        <w:rPr>
          <w:rFonts w:cs="Times New Roman"/>
          <w:b/>
          <w:sz w:val="24"/>
          <w:szCs w:val="24"/>
          <w:u w:val="none"/>
        </w:rPr>
        <w:t xml:space="preserve">15   </w:t>
      </w:r>
      <w:r>
        <w:rPr>
          <w:rFonts w:cs="Times New Roman"/>
          <w:b/>
          <w:sz w:val="24"/>
          <w:szCs w:val="24"/>
          <w:u w:val="single"/>
        </w:rPr>
        <w:t>DA RESCISÃO.</w:t>
      </w:r>
    </w:p>
    <w:p>
      <w:pPr>
        <w:pStyle w:val="Normal"/>
        <w:widowControl w:val="false"/>
        <w:numPr>
          <w:ilvl w:val="0"/>
          <w:numId w:val="0"/>
        </w:numPr>
        <w:spacing w:lineRule="auto" w:line="276" w:before="119" w:after="119"/>
        <w:ind w:left="0" w:hanging="0"/>
        <w:jc w:val="both"/>
        <w:rPr/>
      </w:pPr>
      <w:r>
        <w:rPr>
          <w:rFonts w:cs="Times New Roman"/>
          <w:sz w:val="24"/>
          <w:szCs w:val="24"/>
        </w:rPr>
        <w:t>15.1 Os contratos poderão ser rescindidos nos casos de inexecução total ou parcial, na incidência dos motivos citados no art. 155 da Lei nº 14.133, de 2021, conforme abaixo descrito:</w:t>
      </w:r>
    </w:p>
    <w:p>
      <w:pPr>
        <w:pStyle w:val="Normal"/>
        <w:widowControl w:val="false"/>
        <w:numPr>
          <w:ilvl w:val="0"/>
          <w:numId w:val="0"/>
        </w:numPr>
        <w:spacing w:lineRule="auto" w:line="276" w:before="119" w:after="119"/>
        <w:ind w:left="0" w:hanging="0"/>
        <w:jc w:val="both"/>
        <w:rPr/>
      </w:pPr>
      <w:r>
        <w:rPr>
          <w:rFonts w:cs="Times New Roman"/>
          <w:sz w:val="24"/>
          <w:szCs w:val="24"/>
        </w:rPr>
        <w:tab/>
        <w:t>15.1.1 Determinado por ato unilateral e motivado da Administração Pública Federal, nos seguintes casos:</w:t>
      </w:r>
    </w:p>
    <w:p>
      <w:pPr>
        <w:pStyle w:val="Normal"/>
        <w:widowControl w:val="false"/>
        <w:numPr>
          <w:ilvl w:val="0"/>
          <w:numId w:val="0"/>
        </w:numPr>
        <w:spacing w:lineRule="auto" w:line="276" w:before="120" w:after="120"/>
        <w:ind w:left="0" w:hanging="0"/>
        <w:jc w:val="both"/>
        <w:rPr>
          <w:sz w:val="24"/>
          <w:szCs w:val="24"/>
        </w:rPr>
      </w:pPr>
      <w:r>
        <w:rPr>
          <w:rFonts w:cs="Times New Roman"/>
          <w:color w:val="000000"/>
          <w:sz w:val="24"/>
          <w:szCs w:val="24"/>
        </w:rPr>
        <w:tab/>
        <w:tab/>
        <w:t>15.1.1.1  não cumprimento ou cumprimento irregular de normas editalícias ou de cláusulas contratuais, de especificações, de projetos ou de prazos</w:t>
      </w:r>
      <w:r>
        <w:rPr>
          <w:rFonts w:cs="Times New Roman"/>
          <w:sz w:val="24"/>
          <w:szCs w:val="24"/>
        </w:rPr>
        <w:t>;</w:t>
      </w:r>
    </w:p>
    <w:p>
      <w:pPr>
        <w:pStyle w:val="Normal"/>
        <w:widowControl w:val="false"/>
        <w:numPr>
          <w:ilvl w:val="0"/>
          <w:numId w:val="0"/>
        </w:numPr>
        <w:spacing w:lineRule="auto" w:line="276" w:before="120" w:after="120"/>
        <w:ind w:left="0" w:hanging="0"/>
        <w:jc w:val="both"/>
        <w:rPr>
          <w:sz w:val="24"/>
          <w:szCs w:val="24"/>
        </w:rPr>
      </w:pPr>
      <w:r>
        <w:rPr>
          <w:rFonts w:cs="Times New Roman"/>
          <w:color w:val="000000"/>
          <w:sz w:val="24"/>
          <w:szCs w:val="24"/>
        </w:rPr>
        <w:tab/>
        <w:tab/>
        <w:t>15.1.1.2  desatendimento das determinações regulares emitidas pela autoridade designada para acompanhar e fiscalizar sua execução ou por autoridade superior;</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15.1.1.3 alteração social ou modificação da finalidade ou da estrutura da empresa que restrinja sua capacidade de concluir o contrato;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15.1.1.4 decretação de falência ou de insolvência civil, dissolução da sociedade ou falecimento do contratado;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15.1.1.5 caso fortuito ou força maior, regularmente comprovados, impeditivos da execução do contrato;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15.1.1.6 razões de interesse público, justificadas pela autoridade máxima do órgão ou da entidade contratante;</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15.1.1.7  não cumprimento das obrigações relativas à reserva de cargos prevista em lei, bem como em outras normas específicas, para pessoa com deficiência, para reabilitado da Previdência Social ou para aprendiz;</w:t>
      </w:r>
      <w:bookmarkStart w:id="0" w:name="_Hlk159224020"/>
      <w:bookmarkEnd w:id="0"/>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15.1.2 Por acordo entre as partes, reduzida a termo no procedimento de credenciamento, desde que haja conveniência para a Administração Pública Federal e não prejudique a saúde dos beneficiários d</w:t>
      </w:r>
      <w:r>
        <w:rPr>
          <w:rFonts w:eastAsia="" w:cs="Times New Roman" w:eastAsiaTheme="minorEastAsia"/>
          <w:color w:val="auto"/>
          <w:kern w:val="0"/>
          <w:sz w:val="24"/>
          <w:szCs w:val="24"/>
          <w:lang w:val="pt-BR" w:eastAsia="pt-BR" w:bidi="ar-SA"/>
        </w:rPr>
        <w:t>a Marinha do Brasil</w:t>
      </w:r>
      <w:r>
        <w:rPr>
          <w:rFonts w:cs="Times New Roman"/>
          <w:sz w:val="24"/>
          <w:szCs w:val="24"/>
        </w:rPr>
        <w:t>, com antecedência mínima de 30 (trinta) dias;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15.1.2.1 Estando em processo de apuração de irregularidades na prestação de seus serviços, o CREDENCIADO não poderá solicitar a rescisão, enquanto não concluído o processo de apuração.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15.1.3 Por rescisão judicial, promovida por parte do CREDENCIADO, se a Administração Pública Federal incidir em quaisquer das seguintes hipóteses: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15.1.3.1  Supressão, por parte da Administração, de obras, serviços ou compras que acarrete modificação do valor inicial do contrato além do limite permitido no art. 125 da Lei nº 14.133, de 2021;</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15.1.3.2 suspensão de execução do contrato, por ordem escrita da Administração, por prazo superior a 3 (três) meses;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15.1.3.3 Repetidas suspensões que totalizem 90 (noventa) dias úteis, independentemente do pagamento obrigatório de indenização pelas sucessivas e contratualmente imprevistas desmobilizações e mobilizações e outras previstas;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ab/>
        <w:tab/>
        <w:t>15.1.3.4  atraso superior a 2 (dois) meses, contado da emissão da nota fiscal, dos pagamentos ou de parcelas de pagamentos devidos pela Administração por despesas de obras, serviços ou fornecimentos.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15.2 A rescisão administrativa ou amigável deverá ser precedida de autorização escrita e fundamentada da autoridade competente, observado o devido processo legal.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15.3  O Comando do 4° Distrito Naval poderá, no curso de processo de apuração das hipóteses de rescisão administrativa, interromper temporariamente a execução dos serviços, observado o limite fixado no Subitem</w:t>
      </w:r>
      <w:r>
        <w:rPr>
          <w:rFonts w:cs="Times New Roman"/>
          <w:color w:val="000000"/>
          <w:sz w:val="24"/>
          <w:szCs w:val="24"/>
        </w:rPr>
        <w:t xml:space="preserve"> </w:t>
      </w:r>
      <w:r>
        <w:rPr>
          <w:rFonts w:eastAsia="" w:cs="Times New Roman" w:eastAsiaTheme="minorEastAsia"/>
          <w:color w:val="000000"/>
          <w:sz w:val="24"/>
          <w:szCs w:val="24"/>
          <w:shd w:fill="auto" w:val="clear"/>
        </w:rPr>
        <w:t>15.1.3.2.</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15.4  Quando a rescisão ocorrer sem que haja culpa do CREDENCIADO, será este ressarcido dos prejuízos regularmente comprovados, tendo direito 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15.4.1  Devolução de garantia;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15.4.2  Pagamentos devidos pela execução do contrato até a data da rescisão;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15.4.3  Pagamento do custo da desmobilização.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15.5 A rescisão unilateral, por ato da Administração Pública Federal, acarreta as seguintes consequências, sem prejuízo das sanções previstas neste Edital: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15.5.1 Execução da garantia contratual, quando houver, para: a) ressarcimento da Administração Pública por prejuízos decorrentes da não execução; b) pagamento de multas devidas à Administração Pública.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15.5.2 Retenção dos créditos decorrentes do contrato até o limite dos prejuízos causados à Administração Pública Federal e das multas aplicadas.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15.6 É permitido à Administração Pública Federal, no caso de recuperação judicial ou extrajudicial do CREDENCIADO, manter o ajuste, podendo assumir o controle de determinadas atividades de serviços essenciais.</w:t>
      </w:r>
    </w:p>
    <w:p>
      <w:pPr>
        <w:pStyle w:val="Normal"/>
        <w:widowControl w:val="false"/>
        <w:numPr>
          <w:ilvl w:val="0"/>
          <w:numId w:val="0"/>
        </w:numPr>
        <w:spacing w:lineRule="auto" w:line="276" w:before="120" w:after="120"/>
        <w:ind w:left="0" w:hanging="0"/>
        <w:jc w:val="both"/>
        <w:rPr>
          <w:sz w:val="24"/>
          <w:szCs w:val="24"/>
        </w:rPr>
      </w:pPr>
      <w:r>
        <w:rPr>
          <w:rFonts w:cs="Times New Roman"/>
          <w:bCs/>
          <w:sz w:val="24"/>
          <w:szCs w:val="24"/>
        </w:rPr>
        <w:t>15.7 Em caso de rescisão, os tratamentos em curso deverão ser concluídos por parte do CREDENCIADO, salvo nos casos de expressa manifestação técnica ou administrativa do CREDENCIANTE.</w:t>
      </w:r>
    </w:p>
    <w:p>
      <w:pPr>
        <w:pStyle w:val="Normal"/>
        <w:widowControl w:val="false"/>
        <w:numPr>
          <w:ilvl w:val="0"/>
          <w:numId w:val="0"/>
        </w:numPr>
        <w:spacing w:lineRule="auto" w:line="276" w:before="120" w:after="120"/>
        <w:ind w:left="0" w:hanging="0"/>
        <w:jc w:val="both"/>
        <w:rPr>
          <w:sz w:val="24"/>
          <w:szCs w:val="24"/>
        </w:rPr>
      </w:pPr>
      <w:r>
        <w:rPr>
          <w:rFonts w:cs="Times New Roman"/>
          <w:bCs/>
          <w:sz w:val="24"/>
          <w:szCs w:val="24"/>
        </w:rPr>
        <w:t>15.8 A rescisão não eximirá o CREDENCIADO das garantias assumidas em relação aos serviços executados e de outras responsabilidades que legalmente lhe possam ser imputadas</w:t>
      </w:r>
      <w:r>
        <w:rPr>
          <w:rFonts w:cs="Times New Roman"/>
          <w:sz w:val="24"/>
          <w:szCs w:val="24"/>
        </w:rPr>
        <w:t>.</w:t>
      </w:r>
    </w:p>
    <w:p>
      <w:pPr>
        <w:pStyle w:val="Normal"/>
        <w:widowControl w:val="false"/>
        <w:numPr>
          <w:ilvl w:val="0"/>
          <w:numId w:val="0"/>
        </w:numPr>
        <w:spacing w:lineRule="auto" w:line="276" w:before="120" w:after="120"/>
        <w:ind w:left="0" w:hanging="0"/>
        <w:jc w:val="both"/>
        <w:rPr>
          <w:sz w:val="24"/>
          <w:szCs w:val="24"/>
        </w:rPr>
      </w:pPr>
      <w:r>
        <w:rPr>
          <w:rFonts w:cs="Times New Roman"/>
          <w:bCs/>
          <w:sz w:val="24"/>
          <w:szCs w:val="24"/>
        </w:rPr>
        <w:t>15.9 A rescisão poderá ainda ser realizada por ato unilateral do contratado, mediante descredenciamento por solicitação, ocasião em que gerará efeitos a partir de 30 (trinta) dias do protocolo do pedido</w:t>
      </w:r>
      <w:r>
        <w:rPr>
          <w:rFonts w:cs="Times New Roman"/>
          <w:sz w:val="24"/>
          <w:szCs w:val="24"/>
        </w:rPr>
        <w:t>.</w:t>
      </w:r>
    </w:p>
    <w:p>
      <w:pPr>
        <w:pStyle w:val="Normal"/>
        <w:widowControl w:val="false"/>
        <w:spacing w:lineRule="auto" w:line="276" w:before="120" w:after="120"/>
        <w:ind w:left="0" w:hanging="0"/>
        <w:jc w:val="both"/>
        <w:rPr>
          <w:sz w:val="24"/>
          <w:szCs w:val="24"/>
        </w:rPr>
      </w:pPr>
      <w:r>
        <w:rPr>
          <w:rFonts w:cs="Times New Roman"/>
          <w:sz w:val="24"/>
          <w:szCs w:val="24"/>
        </w:rPr>
        <w:t>15.10 Deverão ser desenvolvidos processos de desvínculo paciente e equipe de terapeutas, pela pessoa jurídica a ser descredenciada, salvo nos casos de expressa manifestação técnica ou administrativa da Comissão Especial de Credenciamento e Descredenciamento.</w:t>
      </w:r>
    </w:p>
    <w:p>
      <w:pPr>
        <w:pStyle w:val="Normal"/>
        <w:widowControl w:val="false"/>
        <w:spacing w:lineRule="auto" w:line="276" w:before="120" w:after="120"/>
        <w:ind w:left="0" w:hanging="0"/>
        <w:jc w:val="both"/>
        <w:rPr>
          <w:sz w:val="24"/>
          <w:szCs w:val="24"/>
        </w:rPr>
      </w:pPr>
      <w:r>
        <w:rPr>
          <w:rFonts w:cs="Times New Roman"/>
          <w:sz w:val="24"/>
          <w:szCs w:val="24"/>
        </w:rPr>
        <w:t>15.11 O descredenciamento não eximirá a CREDENCIADA das garantias assumidas em relação aos serviços executados e de outras responsabilidades que legalmente lhe possam ser imputadas.</w:t>
      </w:r>
    </w:p>
    <w:p>
      <w:pPr>
        <w:pStyle w:val="Normal"/>
        <w:widowControl w:val="false"/>
        <w:spacing w:lineRule="auto" w:line="276" w:before="120" w:after="120"/>
        <w:ind w:left="0" w:hanging="0"/>
        <w:jc w:val="both"/>
        <w:rPr>
          <w:sz w:val="24"/>
          <w:szCs w:val="24"/>
        </w:rPr>
      </w:pPr>
      <w:r>
        <w:rPr>
          <w:rFonts w:cs="Times New Roman"/>
          <w:sz w:val="24"/>
          <w:szCs w:val="24"/>
        </w:rPr>
        <w:t xml:space="preserve">15.12 O contrato poderá ser extinto 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 7.203, de 4 de junho de 2010). </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16    </w:t>
      </w:r>
      <w:r>
        <w:rPr>
          <w:rFonts w:cs="Times New Roman"/>
          <w:b/>
          <w:sz w:val="24"/>
          <w:szCs w:val="24"/>
          <w:u w:val="single"/>
        </w:rPr>
        <w:t>DOS RECURSOS.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16.1 Dos atos da Administração Pública Federal referentes ao indeferimento dos pedidos de credenciamento e demais procedimentos previstos neste Edital caberão recursos administrativos na forma e nos prazos previstos no art. 17 do Decreto nº 11.878, de 2024 e do art. 165 da Lei nº 14.133, de 2021.</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16.1.1 O recurso será formalizado em processo administrativo, observado o devido processo legal.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16.2  Os recursos deverão ser via sistema do Compras.gov.br.</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17   </w:t>
      </w:r>
      <w:r>
        <w:rPr>
          <w:rFonts w:cs="Times New Roman"/>
          <w:b/>
          <w:sz w:val="24"/>
          <w:szCs w:val="24"/>
          <w:u w:val="single"/>
        </w:rPr>
        <w:t>DA IMPUGNAÇÃO DO EDITAL E PEDIDOS DE INFORMAÇÕES.</w:t>
      </w:r>
    </w:p>
    <w:p>
      <w:pPr>
        <w:pStyle w:val="Normal"/>
        <w:widowControl w:val="false"/>
        <w:numPr>
          <w:ilvl w:val="0"/>
          <w:numId w:val="0"/>
        </w:numPr>
        <w:spacing w:lineRule="auto" w:line="276" w:before="120" w:after="120"/>
        <w:ind w:left="0" w:hanging="0"/>
        <w:jc w:val="both"/>
        <w:rPr>
          <w:sz w:val="24"/>
          <w:szCs w:val="24"/>
        </w:rPr>
      </w:pPr>
      <w:r>
        <w:rPr>
          <w:rFonts w:cs="Times New Roman"/>
          <w:color w:val="000000"/>
          <w:sz w:val="24"/>
          <w:szCs w:val="24"/>
        </w:rPr>
        <w:t>17.1 Qualquer cidadão é parte legítima para impugnar o presente edital, após sua publicação no Portal Nacional de Contratações Públicas - PNCP.</w:t>
      </w:r>
    </w:p>
    <w:p>
      <w:pPr>
        <w:pStyle w:val="Normal"/>
        <w:widowControl w:val="false"/>
        <w:numPr>
          <w:ilvl w:val="0"/>
          <w:numId w:val="0"/>
        </w:numPr>
        <w:spacing w:lineRule="auto" w:line="276" w:before="120" w:after="120"/>
        <w:ind w:left="0" w:hanging="0"/>
        <w:jc w:val="both"/>
        <w:rPr>
          <w:sz w:val="24"/>
          <w:szCs w:val="24"/>
        </w:rPr>
      </w:pPr>
      <w:r>
        <w:rPr>
          <w:rFonts w:cs="Times New Roman"/>
          <w:color w:val="000000"/>
          <w:sz w:val="24"/>
          <w:szCs w:val="24"/>
        </w:rPr>
        <w:t xml:space="preserve">17.2 Os pedidos de impugnação </w:t>
      </w:r>
      <w:r>
        <w:rPr>
          <w:rFonts w:cs="Times New Roman"/>
          <w:sz w:val="24"/>
          <w:szCs w:val="24"/>
        </w:rPr>
        <w:t>ou informações deverão ser formalizados no sistema Compras.gov.br.</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17.3  Caberá à</w:t>
      </w:r>
      <w:r>
        <w:rPr>
          <w:rFonts w:cs="Times New Roman"/>
          <w:color w:val="000000"/>
          <w:sz w:val="24"/>
          <w:szCs w:val="24"/>
        </w:rPr>
        <w:t xml:space="preserve"> Comissão Especial de </w:t>
      </w:r>
      <w:r>
        <w:rPr>
          <w:rFonts w:eastAsia="" w:cs="Times New Roman"/>
          <w:color w:val="000000"/>
          <w:kern w:val="0"/>
          <w:sz w:val="24"/>
          <w:szCs w:val="24"/>
          <w:lang w:val="pt-BR" w:eastAsia="pt-BR" w:bidi="ar-SA"/>
        </w:rPr>
        <w:t>Credenciamento</w:t>
      </w:r>
      <w:r>
        <w:rPr>
          <w:rFonts w:cs="Times New Roman"/>
          <w:color w:val="000000"/>
          <w:sz w:val="24"/>
          <w:szCs w:val="24"/>
        </w:rPr>
        <w:t xml:space="preserve"> ju</w:t>
      </w:r>
      <w:r>
        <w:rPr>
          <w:rFonts w:cs="Times New Roman"/>
          <w:sz w:val="24"/>
          <w:szCs w:val="24"/>
        </w:rPr>
        <w:t xml:space="preserve">lgar e responder à impugnação em até 3 (três) dias úteis, a contar da data de protocolização do requerimento na Secretaria de Comunicações (SECOM) do </w:t>
      </w:r>
      <w:r>
        <w:rPr>
          <w:rFonts w:eastAsia="" w:cs="Times New Roman" w:eastAsiaTheme="minorEastAsia"/>
          <w:color w:val="auto"/>
          <w:kern w:val="0"/>
          <w:sz w:val="24"/>
          <w:szCs w:val="24"/>
          <w:lang w:val="pt-BR" w:eastAsia="pt-BR" w:bidi="ar-SA"/>
        </w:rPr>
        <w:t>Comando do 4° Distrito Naval (Com4°DN)</w:t>
      </w:r>
      <w:r>
        <w:rPr>
          <w:rFonts w:cs="Times New Roman"/>
          <w:sz w:val="24"/>
          <w:szCs w:val="24"/>
        </w:rPr>
        <w:t>.</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18    </w:t>
      </w:r>
      <w:r>
        <w:rPr>
          <w:rFonts w:cs="Times New Roman"/>
          <w:b/>
          <w:sz w:val="24"/>
          <w:szCs w:val="24"/>
          <w:u w:val="single"/>
        </w:rPr>
        <w:t>DA REVOGAÇÃO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18.1  A Administração Pública Federal poderá revogar a licitação por razões de interesse público decorrente de fato superveniente devidamente comprovado, pertinente e suficiente para justificar tal conduta.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ab/>
        <w:t>18.1.1 A revogação será precedida de procedimento administrativo, assegurados o contraditório e a ampla defesa, e formalizada mediante parecer escrito e devidamente fundamentado.</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19    </w:t>
      </w:r>
      <w:r>
        <w:rPr>
          <w:rFonts w:cs="Times New Roman"/>
          <w:b/>
          <w:sz w:val="24"/>
          <w:szCs w:val="24"/>
          <w:u w:val="single"/>
        </w:rPr>
        <w:t>DAS DISPOSIÇÕES GERAIS.</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19.1  A qualquer tempo, o CREDENCIANTE, assistido por terceiros contratados para tal fim, poderá realizar inspeção nas instalações dos CREDENCIADOS para verificação das condições de atendimento, de higiene, de equipamentos e de capacidade técnico-operativa.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19.2  O desatendimento de exigências formais não essenciais não importará no afastamento do CREDENCIADO, desde que seja possível a aferição da sua qualificação e a exata compreensão da sua proposta.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19.3  É facultada a autoridade competente, em qualquer fase do procedimento, a promoção de diligência destinada a esclarecer ou complementar a instrução do processo, inclusive com a fixação de prazo de resposta.</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19.4  Na contagem dos prazos estabelecidos neste Edital e seus Anexos, excluir-se-á o dia do início e incluir-se-á o do vencimento.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19.5  Os prazos somente se iniciam e vencem em dias de expediente no Comando do 4° Distrito Naval.</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19.6  Os casos omissos serão resolvidos, pelo Comandante do 4° Distrito Naval, com base nas disposições constantes da Lei n˚ 14.133, de 2021 e no Decreto nº 11.878, de 2024 e nas demais Leis, Decretos, Portarias e Instruções Normativas a que este instrumento de convocação se encontra subordinado.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19.7  O resultado da análise da documentação apresentada para habilitação não implicará direito à contratação.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19.8  A CREDENCIADA assume todos os custos de preparação e apresentação de suas propostas e a Administração não será, em nenhum caso, responsável por esses custos, independentemente da condução ou do resultado do processo. </w:t>
      </w:r>
    </w:p>
    <w:p>
      <w:pPr>
        <w:pStyle w:val="Normal"/>
        <w:widowControl w:val="false"/>
        <w:numPr>
          <w:ilvl w:val="0"/>
          <w:numId w:val="0"/>
        </w:numPr>
        <w:spacing w:lineRule="auto" w:line="276" w:before="120" w:after="120"/>
        <w:ind w:left="0" w:hanging="0"/>
        <w:jc w:val="both"/>
        <w:rPr/>
      </w:pPr>
      <w:r>
        <w:rPr>
          <w:rFonts w:cs="Times New Roman"/>
          <w:sz w:val="24"/>
          <w:szCs w:val="24"/>
        </w:rPr>
        <w:t xml:space="preserve">19.9  As dúvidas referentes ao Edital poderão ser formuladas à Seção de Licitações e Contratos Administrativos do </w:t>
      </w:r>
      <w:r>
        <w:rPr>
          <w:rFonts w:eastAsia="" w:cs="Times New Roman"/>
          <w:color w:val="000000"/>
          <w:kern w:val="0"/>
          <w:sz w:val="24"/>
          <w:szCs w:val="24"/>
          <w:shd w:fill="auto" w:val="clear"/>
          <w:lang w:val="pt-BR" w:eastAsia="pt-BR" w:bidi="ar-SA"/>
        </w:rPr>
        <w:t xml:space="preserve">Comando do 4° Distrito Naval </w:t>
      </w:r>
      <w:r>
        <w:rPr>
          <w:rFonts w:cs="Times New Roman"/>
          <w:color w:val="000000"/>
          <w:sz w:val="24"/>
          <w:szCs w:val="24"/>
          <w:shd w:fill="auto" w:val="clear"/>
        </w:rPr>
        <w:t xml:space="preserve">e encaminhadas </w:t>
      </w:r>
      <w:r>
        <w:rPr>
          <w:rFonts w:cs="Times New Roman"/>
          <w:sz w:val="24"/>
          <w:szCs w:val="24"/>
        </w:rPr>
        <w:t xml:space="preserve">para endereço eletrônico </w:t>
      </w:r>
      <w:r>
        <w:rPr>
          <w:rStyle w:val="Fontepargpadro"/>
          <w:rFonts w:eastAsia="Times New Roman" w:cs="Calibri"/>
          <w:color w:val="000000"/>
          <w:sz w:val="24"/>
          <w:szCs w:val="24"/>
          <w:lang w:bidi="ar-SA"/>
        </w:rPr>
        <w:t>augusto.marcelino</w:t>
      </w:r>
      <w:hyperlink r:id="rId7">
        <w:r>
          <w:rPr>
            <w:rStyle w:val="LinkdaInternet"/>
            <w:rFonts w:eastAsia="Times New Roman" w:cs="Calibri"/>
            <w:color w:val="00000A"/>
            <w:sz w:val="24"/>
            <w:szCs w:val="24"/>
          </w:rPr>
          <w:t>@marinha.mil.br</w:t>
        </w:r>
      </w:hyperlink>
      <w:r>
        <w:rPr>
          <w:rStyle w:val="Fontepargpadro"/>
          <w:rFonts w:eastAsia="Times New Roman" w:cs="Calibri"/>
          <w:color w:val="00000A"/>
          <w:sz w:val="24"/>
          <w:szCs w:val="24"/>
        </w:rPr>
        <w:t>, ou telefone (91)2316-4065.</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19.10  A minuta do presente Edital foi examinada e aprovada pela Consultoria Geral da União no Estado do Pará, conforme Parecer N° ……………………...…………….., de ……...de …………….de……, e  despacho de aprovação no NUP nº ………………………………..………………….. , precedido do Termo de Justificativa de Inexigibilidade de Licitação n° ………………./2024, nos termos do art. 53, da Lei n° 14.133/2021.</w:t>
      </w:r>
    </w:p>
    <w:p>
      <w:pPr>
        <w:pStyle w:val="Normal"/>
        <w:widowControl w:val="false"/>
        <w:numPr>
          <w:ilvl w:val="0"/>
          <w:numId w:val="0"/>
        </w:numPr>
        <w:spacing w:lineRule="auto" w:line="276" w:before="120" w:after="120"/>
        <w:ind w:left="0" w:hanging="0"/>
        <w:jc w:val="both"/>
        <w:rPr>
          <w:sz w:val="24"/>
          <w:szCs w:val="24"/>
        </w:rPr>
      </w:pPr>
      <w:r>
        <w:rPr>
          <w:rFonts w:cs="Times New Roman"/>
          <w:b/>
          <w:sz w:val="24"/>
          <w:szCs w:val="24"/>
          <w:u w:val="none"/>
        </w:rPr>
        <w:t xml:space="preserve">20   </w:t>
      </w:r>
      <w:r>
        <w:rPr>
          <w:rFonts w:cs="Times New Roman"/>
          <w:b/>
          <w:sz w:val="24"/>
          <w:szCs w:val="24"/>
          <w:u w:val="single"/>
        </w:rPr>
        <w:t>DO FORO.</w:t>
      </w:r>
    </w:p>
    <w:p>
      <w:pPr>
        <w:pStyle w:val="Normal"/>
        <w:widowControl w:val="false"/>
        <w:numPr>
          <w:ilvl w:val="0"/>
          <w:numId w:val="0"/>
        </w:numPr>
        <w:spacing w:lineRule="auto" w:line="276" w:before="120" w:after="120"/>
        <w:ind w:left="0" w:hanging="0"/>
        <w:jc w:val="both"/>
        <w:rPr>
          <w:sz w:val="24"/>
          <w:szCs w:val="24"/>
        </w:rPr>
      </w:pPr>
      <w:r>
        <w:rPr>
          <w:rFonts w:cs="Times New Roman"/>
          <w:sz w:val="24"/>
          <w:szCs w:val="24"/>
        </w:rPr>
        <w:t xml:space="preserve">20.1  O foro para dirimir questões relativas ao presente Edital será o </w:t>
      </w:r>
      <w:r>
        <w:rPr>
          <w:rFonts w:eastAsia="" w:cs="Times New Roman" w:eastAsiaTheme="minorEastAsia"/>
          <w:sz w:val="24"/>
          <w:szCs w:val="24"/>
          <w:shd w:fill="auto" w:val="clear"/>
        </w:rPr>
        <w:t xml:space="preserve">de Belém-PA, </w:t>
      </w:r>
      <w:r>
        <w:rPr>
          <w:rFonts w:cs="Times New Roman"/>
          <w:sz w:val="24"/>
          <w:szCs w:val="24"/>
        </w:rPr>
        <w:t>com exclusão de qualquer outro, por mais privilegiado que seja.</w:t>
      </w:r>
    </w:p>
    <w:p>
      <w:pPr>
        <w:pStyle w:val="Normal"/>
        <w:widowControl w:val="false"/>
        <w:numPr>
          <w:ilvl w:val="0"/>
          <w:numId w:val="0"/>
        </w:numPr>
        <w:spacing w:lineRule="auto" w:line="276" w:before="120" w:after="120"/>
        <w:ind w:left="0" w:hanging="0"/>
        <w:jc w:val="both"/>
        <w:rPr>
          <w:sz w:val="24"/>
          <w:szCs w:val="24"/>
        </w:rPr>
      </w:pPr>
      <w:r>
        <w:rPr>
          <w:rFonts w:eastAsia="" w:cs="Times New Roman" w:eastAsiaTheme="minorEastAsia"/>
          <w:color w:val="000000"/>
          <w:kern w:val="0"/>
          <w:sz w:val="24"/>
          <w:szCs w:val="24"/>
          <w:shd w:fill="auto" w:val="clear"/>
          <w:lang w:val="pt-BR" w:eastAsia="pt-BR" w:bidi="ar-SA"/>
        </w:rPr>
        <w:tab/>
      </w:r>
    </w:p>
    <w:p>
      <w:pPr>
        <w:pStyle w:val="Normal"/>
        <w:widowControl w:val="false"/>
        <w:numPr>
          <w:ilvl w:val="0"/>
          <w:numId w:val="0"/>
        </w:numPr>
        <w:spacing w:lineRule="auto" w:line="276" w:before="120" w:after="120"/>
        <w:ind w:left="0" w:hanging="0"/>
        <w:jc w:val="both"/>
        <w:rPr>
          <w:sz w:val="24"/>
          <w:szCs w:val="24"/>
        </w:rPr>
      </w:pPr>
      <w:r>
        <w:rPr>
          <w:rFonts w:eastAsia="" w:cs="Times New Roman" w:eastAsiaTheme="minorEastAsia"/>
          <w:color w:val="000000"/>
          <w:kern w:val="0"/>
          <w:sz w:val="24"/>
          <w:szCs w:val="24"/>
          <w:shd w:fill="auto" w:val="clear"/>
          <w:lang w:val="pt-BR" w:eastAsia="pt-BR" w:bidi="ar-SA"/>
        </w:rPr>
        <w:tab/>
        <w:t>Belém-PA</w:t>
      </w:r>
      <w:r>
        <w:rPr>
          <w:rFonts w:eastAsia="" w:cs="Times New Roman" w:eastAsiaTheme="minorEastAsia"/>
          <w:sz w:val="24"/>
          <w:szCs w:val="24"/>
          <w:shd w:fill="auto" w:val="clear"/>
        </w:rPr>
        <w:t>, _____de ______________ de 2024.</w:t>
      </w:r>
    </w:p>
    <w:p>
      <w:pPr>
        <w:pStyle w:val="Normal"/>
        <w:spacing w:lineRule="auto" w:line="240" w:before="0" w:after="0"/>
        <w:jc w:val="center"/>
        <w:rPr>
          <w:sz w:val="24"/>
          <w:szCs w:val="24"/>
        </w:rPr>
      </w:pPr>
      <w:r>
        <w:rPr>
          <w:sz w:val="24"/>
          <w:szCs w:val="24"/>
        </w:rPr>
      </w:r>
    </w:p>
    <w:p>
      <w:pPr>
        <w:pStyle w:val="Normal"/>
        <w:spacing w:lineRule="auto" w:line="240" w:before="0" w:after="0"/>
        <w:jc w:val="center"/>
        <w:rPr>
          <w:sz w:val="24"/>
          <w:szCs w:val="24"/>
        </w:rPr>
      </w:pPr>
      <w:r>
        <w:rPr>
          <w:sz w:val="24"/>
          <w:szCs w:val="24"/>
        </w:rPr>
      </w:r>
    </w:p>
    <w:p>
      <w:pPr>
        <w:pStyle w:val="Normal"/>
        <w:spacing w:lineRule="auto" w:line="240" w:before="0" w:after="0"/>
        <w:jc w:val="center"/>
        <w:rPr>
          <w:sz w:val="24"/>
          <w:szCs w:val="24"/>
        </w:rPr>
      </w:pPr>
      <w:r>
        <w:rPr>
          <w:sz w:val="24"/>
          <w:szCs w:val="24"/>
        </w:rPr>
      </w:r>
    </w:p>
    <w:p>
      <w:pPr>
        <w:pStyle w:val="Normal"/>
        <w:spacing w:lineRule="auto" w:line="240" w:before="0" w:after="0"/>
        <w:jc w:val="center"/>
        <w:rPr>
          <w:sz w:val="24"/>
          <w:szCs w:val="24"/>
        </w:rPr>
      </w:pPr>
      <w:r>
        <w:rPr>
          <w:sz w:val="24"/>
          <w:szCs w:val="24"/>
        </w:rPr>
      </w:r>
    </w:p>
    <w:p>
      <w:pPr>
        <w:pStyle w:val="Normal"/>
        <w:spacing w:lineRule="auto" w:line="240" w:before="0" w:after="0"/>
        <w:jc w:val="center"/>
        <w:rPr>
          <w:rFonts w:ascii="Calibri" w:hAnsi="Calibri" w:eastAsia="" w:cs="" w:asciiTheme="minorHAnsi" w:cstheme="minorBidi" w:eastAsiaTheme="minorEastAsia" w:hAnsiTheme="minorHAnsi"/>
          <w:color w:val="auto"/>
          <w:kern w:val="0"/>
          <w:sz w:val="24"/>
          <w:szCs w:val="24"/>
          <w:lang w:val="pt-BR" w:eastAsia="pt-BR" w:bidi="ar-SA"/>
        </w:rPr>
      </w:pPr>
      <w:r>
        <w:rPr>
          <w:rFonts w:eastAsia="" w:cs="" w:cstheme="minorBidi" w:eastAsiaTheme="minorEastAsia"/>
          <w:color w:val="auto"/>
          <w:kern w:val="0"/>
          <w:sz w:val="24"/>
          <w:szCs w:val="24"/>
          <w:lang w:val="pt-BR" w:eastAsia="pt-BR" w:bidi="ar-SA"/>
        </w:rPr>
        <w:t>CARLOS ALBERTO DA SILVA JUNIOR</w:t>
      </w:r>
    </w:p>
    <w:p>
      <w:pPr>
        <w:pStyle w:val="Normal"/>
        <w:spacing w:lineRule="auto" w:line="240" w:before="0" w:after="0"/>
        <w:jc w:val="center"/>
        <w:rPr/>
      </w:pPr>
      <w:r>
        <w:rPr>
          <w:sz w:val="24"/>
          <w:szCs w:val="24"/>
        </w:rPr>
        <w:t xml:space="preserve">Capitão de Mar e Guerra </w:t>
      </w:r>
      <w:r>
        <w:rPr>
          <w:sz w:val="24"/>
          <w:szCs w:val="24"/>
        </w:rPr>
        <w:t>(IM)</w:t>
      </w:r>
    </w:p>
    <w:p>
      <w:pPr>
        <w:pStyle w:val="Normal"/>
        <w:suppressAutoHyphens w:val="true"/>
        <w:spacing w:before="0" w:after="120"/>
        <w:jc w:val="center"/>
        <w:rPr>
          <w:rFonts w:ascii="Calibri" w:hAnsi="Calibri" w:eastAsia="Times New Roman" w:cs="Times New Roman"/>
          <w:color w:val="000000"/>
          <w:sz w:val="24"/>
          <w:szCs w:val="24"/>
          <w:lang w:bidi="ar-SA"/>
        </w:rPr>
      </w:pPr>
      <w:r>
        <w:rPr>
          <w:rStyle w:val="Fontepargpadro3"/>
          <w:rFonts w:eastAsia="Times New Roman" w:cs="Times New Roman"/>
          <w:color w:val="000000"/>
          <w:sz w:val="24"/>
          <w:szCs w:val="24"/>
          <w:lang w:bidi="ar-SA"/>
        </w:rPr>
        <w:t>Ordenador de Despesas</w:t>
      </w:r>
    </w:p>
    <w:sectPr>
      <w:headerReference w:type="default" r:id="rId8"/>
      <w:footerReference w:type="default" r:id="rId9"/>
      <w:type w:val="nextPage"/>
      <w:pgSz w:w="11906" w:h="16838"/>
      <w:pgMar w:left="1417" w:right="1134" w:header="624" w:top="1321" w:footer="624" w:bottom="1321"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Ecofont_Spranq_eco_Sans">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widowControl/>
      <w:suppressAutoHyphens w:val="true"/>
      <w:bidi w:val="0"/>
      <w:spacing w:lineRule="auto" w:line="240" w:before="0" w:after="0"/>
      <w:ind w:left="0" w:right="0" w:hanging="0"/>
      <w:jc w:val="left"/>
      <w:rPr>
        <w:rFonts w:ascii="Calibri" w:hAnsi="Calibri"/>
        <w:sz w:val="12"/>
        <w:szCs w:val="12"/>
      </w:rPr>
    </w:pPr>
    <w:r>
      <w:rPr>
        <w:sz w:val="12"/>
        <w:szCs w:val="12"/>
      </w:rPr>
      <w:t xml:space="preserve">Consultoria Jurídica da União Especializada em Serviços Sem Dedicação Exclusiva de Mão de Obra  </w:t>
    </w:r>
  </w:p>
  <w:p>
    <w:pPr>
      <w:pStyle w:val="Rodap"/>
      <w:widowControl/>
      <w:suppressAutoHyphens w:val="true"/>
      <w:bidi w:val="0"/>
      <w:spacing w:lineRule="auto" w:line="240" w:before="0" w:after="0"/>
      <w:ind w:left="0" w:right="0" w:hanging="0"/>
      <w:jc w:val="left"/>
      <w:rPr>
        <w:rFonts w:ascii="Calibri" w:hAnsi="Calibri"/>
        <w:sz w:val="12"/>
        <w:szCs w:val="12"/>
      </w:rPr>
    </w:pPr>
    <w:r>
      <w:rPr>
        <w:sz w:val="12"/>
        <w:szCs w:val="12"/>
      </w:rPr>
      <w:t xml:space="preserve">Edital modelo para credenciamento de pessoas físicas e jurídicas para a prestação de serviços médico-hospitalares e odontológicos </w:t>
    </w:r>
  </w:p>
  <w:p>
    <w:pPr>
      <w:pStyle w:val="Rodap"/>
      <w:widowControl/>
      <w:suppressAutoHyphens w:val="true"/>
      <w:bidi w:val="0"/>
      <w:spacing w:lineRule="auto" w:line="240" w:before="0" w:after="0"/>
      <w:ind w:left="0" w:right="0" w:hanging="0"/>
      <w:jc w:val="left"/>
      <w:rPr>
        <w:rFonts w:ascii="Calibri" w:hAnsi="Calibri"/>
        <w:sz w:val="12"/>
        <w:szCs w:val="12"/>
      </w:rPr>
    </w:pPr>
    <w:r>
      <w:rPr>
        <w:sz w:val="12"/>
        <w:szCs w:val="12"/>
      </w:rPr>
      <w:t>Atualização: FEVEREIRO/2024 – LEI 14.133/2021</w:t>
    </w:r>
  </w:p>
  <w:p>
    <w:pPr>
      <w:pStyle w:val="Rodap"/>
      <w:rPr>
        <w:rFonts w:cs="Arial"/>
        <w:sz w:val="12"/>
        <w:szCs w:val="12"/>
      </w:rPr>
    </w:pPr>
    <w:r>
      <w:rPr>
        <w:rFonts w:cs="Arial"/>
        <w:sz w:val="12"/>
        <w:szCs w:val="12"/>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widowControl/>
      <w:suppressAutoHyphens w:val="true"/>
      <w:bidi w:val="0"/>
      <w:spacing w:lineRule="auto" w:line="240" w:before="0" w:after="0"/>
      <w:ind w:left="0" w:right="0" w:hanging="0"/>
      <w:jc w:val="left"/>
      <w:rPr>
        <w:rFonts w:ascii="Calibri" w:hAnsi="Calibri"/>
        <w:sz w:val="12"/>
        <w:szCs w:val="12"/>
      </w:rPr>
    </w:pPr>
    <w:r>
      <w:rPr>
        <w:sz w:val="12"/>
        <w:szCs w:val="12"/>
      </w:rPr>
      <w:t xml:space="preserve">Consultoria Jurídica da União Especializada em Serviços Sem Dedicação Exclusiva de Mão de Obra  </w:t>
    </w:r>
  </w:p>
  <w:p>
    <w:pPr>
      <w:pStyle w:val="Rodap"/>
      <w:widowControl/>
      <w:suppressAutoHyphens w:val="true"/>
      <w:bidi w:val="0"/>
      <w:spacing w:lineRule="auto" w:line="240" w:before="0" w:after="0"/>
      <w:ind w:left="0" w:right="0" w:hanging="0"/>
      <w:jc w:val="left"/>
      <w:rPr>
        <w:rFonts w:ascii="Calibri" w:hAnsi="Calibri"/>
        <w:sz w:val="12"/>
        <w:szCs w:val="12"/>
      </w:rPr>
    </w:pPr>
    <w:r>
      <w:rPr>
        <w:sz w:val="12"/>
        <w:szCs w:val="12"/>
      </w:rPr>
      <w:t xml:space="preserve">Edital modelo para credenciamento de pessoas físicas e jurídicas para a prestação de serviços médico-hospitalares e odontológicos </w:t>
    </w:r>
  </w:p>
  <w:p>
    <w:pPr>
      <w:pStyle w:val="Rodap"/>
      <w:widowControl/>
      <w:suppressAutoHyphens w:val="true"/>
      <w:bidi w:val="0"/>
      <w:spacing w:lineRule="auto" w:line="240" w:before="0" w:after="0"/>
      <w:ind w:left="0" w:right="0" w:hanging="0"/>
      <w:jc w:val="left"/>
      <w:rPr>
        <w:rFonts w:ascii="Calibri" w:hAnsi="Calibri"/>
        <w:sz w:val="12"/>
        <w:szCs w:val="12"/>
      </w:rPr>
    </w:pPr>
    <w:r>
      <w:rPr>
        <w:sz w:val="12"/>
        <w:szCs w:val="12"/>
      </w:rPr>
      <w:t>Atualização: FEVEREIRO/2024 – LEI 14.133/2021</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Ecofont_Spranq_eco_Sans" w:hAnsi="Ecofont_Spranq_eco_Sans"/>
        <w:sz w:val="16"/>
        <w:szCs w:val="16"/>
      </w:rPr>
    </w:pPr>
    <w:r>
      <w:rPr>
        <w:rFonts w:ascii="Ecofont_Spranq_eco_Sans" w:hAnsi="Ecofont_Spranq_eco_Sans"/>
        <w:sz w:val="16"/>
        <w:szCs w:val="16"/>
      </w:rPr>
      <w:fldChar w:fldCharType="begin"/>
    </w:r>
    <w:r>
      <w:rPr>
        <w:sz w:val="16"/>
        <w:szCs w:val="16"/>
        <w:rFonts w:ascii="Ecofont_Spranq_eco_Sans" w:hAnsi="Ecofont_Spranq_eco_Sans"/>
      </w:rPr>
      <w:instrText> PAGE </w:instrText>
    </w:r>
    <w:r>
      <w:rPr>
        <w:sz w:val="16"/>
        <w:szCs w:val="16"/>
        <w:rFonts w:ascii="Ecofont_Spranq_eco_Sans" w:hAnsi="Ecofont_Spranq_eco_Sans"/>
      </w:rPr>
      <w:fldChar w:fldCharType="separate"/>
    </w:r>
    <w:r>
      <w:rPr>
        <w:sz w:val="16"/>
        <w:szCs w:val="16"/>
        <w:rFonts w:ascii="Ecofont_Spranq_eco_Sans" w:hAnsi="Ecofont_Spranq_eco_Sans"/>
      </w:rPr>
      <w:t>2</w:t>
    </w:r>
    <w:r>
      <w:rPr>
        <w:sz w:val="16"/>
        <w:szCs w:val="16"/>
        <w:rFonts w:ascii="Ecofont_Spranq_eco_Sans" w:hAnsi="Ecofont_Spranq_eco_Sans"/>
      </w:rPr>
      <w:fldChar w:fldCharType="end"/>
    </w:r>
    <w:r>
      <w:rPr>
        <w:rFonts w:ascii="Ecofont_Spranq_eco_Sans" w:hAnsi="Ecofont_Spranq_eco_Sans"/>
        <w:sz w:val="16"/>
        <w:szCs w:val="16"/>
      </w:rPr>
      <w:t>/</w:t>
    </w:r>
    <w:r>
      <w:rPr>
        <w:rFonts w:ascii="Ecofont_Spranq_eco_Sans" w:hAnsi="Ecofont_Spranq_eco_Sans"/>
        <w:sz w:val="16"/>
        <w:szCs w:val="16"/>
      </w:rPr>
      <w:fldChar w:fldCharType="begin"/>
    </w:r>
    <w:r>
      <w:rPr>
        <w:sz w:val="16"/>
        <w:szCs w:val="16"/>
        <w:rFonts w:ascii="Ecofont_Spranq_eco_Sans" w:hAnsi="Ecofont_Spranq_eco_Sans"/>
      </w:rPr>
      <w:instrText> NUMPAGES </w:instrText>
    </w:r>
    <w:r>
      <w:rPr>
        <w:sz w:val="16"/>
        <w:szCs w:val="16"/>
        <w:rFonts w:ascii="Ecofont_Spranq_eco_Sans" w:hAnsi="Ecofont_Spranq_eco_Sans"/>
      </w:rPr>
      <w:fldChar w:fldCharType="separate"/>
    </w:r>
    <w:r>
      <w:rPr>
        <w:sz w:val="16"/>
        <w:szCs w:val="16"/>
        <w:rFonts w:ascii="Ecofont_Spranq_eco_Sans" w:hAnsi="Ecofont_Spranq_eco_Sans"/>
      </w:rPr>
      <w:t>33</w:t>
    </w:r>
    <w:r>
      <w:rPr>
        <w:sz w:val="16"/>
        <w:szCs w:val="16"/>
        <w:rFonts w:ascii="Ecofont_Spranq_eco_Sans" w:hAnsi="Ecofont_Spranq_eco_Sans"/>
      </w:rPr>
      <w:fldChar w:fldCharType="end"/>
    </w:r>
    <w:r>
      <w:rPr>
        <w:rFonts w:ascii="Ecofont_Spranq_eco_Sans" w:hAnsi="Ecofont_Spranq_eco_Sans"/>
        <w:sz w:val="16"/>
        <w:szCs w:val="16"/>
      </w:rPr>
      <w:t>.</w:t>
    </w:r>
  </w:p>
  <w:p>
    <w:pPr>
      <w:pStyle w:val="Cabealho"/>
      <w:rPr>
        <w:rFonts w:ascii="Ecofont_Spranq_eco_Sans" w:hAnsi="Ecofont_Spranq_eco_Sans"/>
        <w:sz w:val="16"/>
        <w:szCs w:val="16"/>
      </w:rPr>
    </w:pPr>
    <w:r>
      <w:rPr>
        <w:rFonts w:ascii="Ecofont_Spranq_eco_Sans" w:hAnsi="Ecofont_Spranq_eco_Sans"/>
        <w:sz w:val="16"/>
        <w:szCs w:val="16"/>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Ecofont_Spranq_eco_Sans" w:hAnsi="Ecofont_Spranq_eco_Sans"/>
        <w:sz w:val="16"/>
        <w:szCs w:val="16"/>
      </w:rPr>
    </w:pPr>
    <w:r>
      <w:rPr>
        <w:rFonts w:ascii="Ecofont_Spranq_eco_Sans" w:hAnsi="Ecofont_Spranq_eco_Sans"/>
        <w:sz w:val="16"/>
        <w:szCs w:val="16"/>
      </w:rPr>
      <w:fldChar w:fldCharType="begin"/>
    </w:r>
    <w:r>
      <w:rPr>
        <w:sz w:val="16"/>
        <w:szCs w:val="16"/>
        <w:rFonts w:ascii="Ecofont_Spranq_eco_Sans" w:hAnsi="Ecofont_Spranq_eco_Sans"/>
      </w:rPr>
      <w:instrText> PAGE </w:instrText>
    </w:r>
    <w:r>
      <w:rPr>
        <w:sz w:val="16"/>
        <w:szCs w:val="16"/>
        <w:rFonts w:ascii="Ecofont_Spranq_eco_Sans" w:hAnsi="Ecofont_Spranq_eco_Sans"/>
      </w:rPr>
      <w:fldChar w:fldCharType="separate"/>
    </w:r>
    <w:r>
      <w:rPr>
        <w:sz w:val="16"/>
        <w:szCs w:val="16"/>
        <w:rFonts w:ascii="Ecofont_Spranq_eco_Sans" w:hAnsi="Ecofont_Spranq_eco_Sans"/>
      </w:rPr>
      <w:t>32</w:t>
    </w:r>
    <w:r>
      <w:rPr>
        <w:sz w:val="16"/>
        <w:szCs w:val="16"/>
        <w:rFonts w:ascii="Ecofont_Spranq_eco_Sans" w:hAnsi="Ecofont_Spranq_eco_Sans"/>
      </w:rPr>
      <w:fldChar w:fldCharType="end"/>
    </w:r>
    <w:r>
      <w:rPr>
        <w:rFonts w:ascii="Ecofont_Spranq_eco_Sans" w:hAnsi="Ecofont_Spranq_eco_Sans"/>
        <w:sz w:val="16"/>
        <w:szCs w:val="16"/>
      </w:rPr>
      <w:t>/</w:t>
    </w:r>
    <w:r>
      <w:rPr>
        <w:rFonts w:ascii="Ecofont_Spranq_eco_Sans" w:hAnsi="Ecofont_Spranq_eco_Sans"/>
        <w:sz w:val="16"/>
        <w:szCs w:val="16"/>
      </w:rPr>
      <w:fldChar w:fldCharType="begin"/>
    </w:r>
    <w:r>
      <w:rPr>
        <w:sz w:val="16"/>
        <w:szCs w:val="16"/>
        <w:rFonts w:ascii="Ecofont_Spranq_eco_Sans" w:hAnsi="Ecofont_Spranq_eco_Sans"/>
      </w:rPr>
      <w:instrText> NUMPAGES </w:instrText>
    </w:r>
    <w:r>
      <w:rPr>
        <w:sz w:val="16"/>
        <w:szCs w:val="16"/>
        <w:rFonts w:ascii="Ecofont_Spranq_eco_Sans" w:hAnsi="Ecofont_Spranq_eco_Sans"/>
      </w:rPr>
      <w:fldChar w:fldCharType="separate"/>
    </w:r>
    <w:r>
      <w:rPr>
        <w:sz w:val="16"/>
        <w:szCs w:val="16"/>
        <w:rFonts w:ascii="Ecofont_Spranq_eco_Sans" w:hAnsi="Ecofont_Spranq_eco_Sans"/>
      </w:rPr>
      <w:t>33</w:t>
    </w:r>
    <w:r>
      <w:rPr>
        <w:sz w:val="16"/>
        <w:szCs w:val="16"/>
        <w:rFonts w:ascii="Ecofont_Spranq_eco_Sans" w:hAnsi="Ecofont_Spranq_eco_Sans"/>
      </w:rPr>
      <w:fldChar w:fldCharType="end"/>
    </w:r>
    <w:r>
      <w:rPr>
        <w:rFonts w:ascii="Ecofont_Spranq_eco_Sans" w:hAnsi="Ecofont_Spranq_eco_Sans"/>
        <w:sz w:val="16"/>
        <w:szCs w:val="16"/>
      </w:rPr>
      <w:t>.</w:t>
    </w:r>
  </w:p>
  <w:p>
    <w:pPr>
      <w:pStyle w:val="Cabealho"/>
      <w:rPr>
        <w:rFonts w:ascii="Ecofont_Spranq_eco_Sans" w:hAnsi="Ecofont_Spranq_eco_Sans"/>
        <w:sz w:val="16"/>
        <w:szCs w:val="16"/>
      </w:rPr>
    </w:pPr>
    <w:r>
      <w:rPr>
        <w:rFonts w:ascii="Ecofont_Spranq_eco_Sans" w:hAnsi="Ecofont_Spranq_eco_Sans"/>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1"/>
    <w:lvlOverride w:ilvl="0">
      <w:startOverride w:val="1"/>
    </w:lvlOverride>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7632b"/>
    <w:pPr>
      <w:widowControl/>
      <w:suppressAutoHyphens w:val="true"/>
      <w:bidi w:val="0"/>
      <w:spacing w:lineRule="auto" w:line="264" w:before="0" w:after="120"/>
      <w:jc w:val="left"/>
    </w:pPr>
    <w:rPr>
      <w:rFonts w:ascii="Calibri" w:hAnsi="Calibri" w:eastAsia="" w:cs="" w:asciiTheme="minorHAnsi" w:cstheme="minorBidi" w:eastAsiaTheme="minorEastAsia" w:hAnsiTheme="minorHAnsi"/>
      <w:color w:val="auto"/>
      <w:kern w:val="0"/>
      <w:sz w:val="20"/>
      <w:szCs w:val="20"/>
      <w:lang w:val="pt-BR" w:eastAsia="pt-BR" w:bidi="ar-SA"/>
    </w:rPr>
  </w:style>
  <w:style w:type="paragraph" w:styleId="Ttulo1">
    <w:name w:val="Heading 1"/>
    <w:basedOn w:val="Normal"/>
    <w:next w:val="Normal"/>
    <w:link w:val="Ttulo1Char"/>
    <w:uiPriority w:val="9"/>
    <w:qFormat/>
    <w:rsid w:val="0067632b"/>
    <w:pPr>
      <w:keepNext w:val="true"/>
      <w:keepLines/>
      <w:spacing w:lineRule="auto" w:line="240" w:before="32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uiPriority w:val="9"/>
    <w:unhideWhenUsed/>
    <w:qFormat/>
    <w:rsid w:val="0067632b"/>
    <w:pPr>
      <w:keepNext w:val="true"/>
      <w:keepLines/>
      <w:spacing w:lineRule="auto" w:line="240" w:before="80" w:after="0"/>
      <w:outlineLvl w:val="1"/>
    </w:pPr>
    <w:rPr>
      <w:rFonts w:ascii="Cambria" w:hAnsi="Cambria" w:eastAsia="" w:cs="" w:asciiTheme="majorHAnsi" w:cstheme="majorBidi" w:eastAsiaTheme="majorEastAsia" w:hAnsiTheme="majorHAnsi"/>
      <w:color w:val="404040" w:themeColor="text1" w:themeTint="bf"/>
      <w:sz w:val="28"/>
      <w:szCs w:val="28"/>
    </w:rPr>
  </w:style>
  <w:style w:type="paragraph" w:styleId="Ttulo3">
    <w:name w:val="Heading 3"/>
    <w:basedOn w:val="Normal"/>
    <w:next w:val="Normal"/>
    <w:link w:val="Ttulo3Char"/>
    <w:uiPriority w:val="9"/>
    <w:semiHidden/>
    <w:unhideWhenUsed/>
    <w:qFormat/>
    <w:rsid w:val="0067632b"/>
    <w:pPr>
      <w:keepNext w:val="true"/>
      <w:keepLines/>
      <w:spacing w:lineRule="auto" w:line="240" w:before="40" w:after="0"/>
      <w:outlineLvl w:val="2"/>
    </w:pPr>
    <w:rPr>
      <w:rFonts w:ascii="Cambria" w:hAnsi="Cambria" w:eastAsia="" w:cs="" w:asciiTheme="majorHAnsi" w:cstheme="majorBidi" w:eastAsiaTheme="majorEastAsia" w:hAnsiTheme="majorHAnsi"/>
      <w:color w:val="1F497D" w:themeColor="text2"/>
      <w:sz w:val="24"/>
      <w:szCs w:val="24"/>
    </w:rPr>
  </w:style>
  <w:style w:type="paragraph" w:styleId="Ttulo4">
    <w:name w:val="Heading 4"/>
    <w:basedOn w:val="Normal"/>
    <w:next w:val="Normal"/>
    <w:link w:val="Ttulo4Char"/>
    <w:uiPriority w:val="9"/>
    <w:semiHidden/>
    <w:unhideWhenUsed/>
    <w:qFormat/>
    <w:rsid w:val="0067632b"/>
    <w:pPr>
      <w:keepNext w:val="true"/>
      <w:keepLines/>
      <w:spacing w:before="40" w:after="0"/>
      <w:outlineLvl w:val="3"/>
    </w:pPr>
    <w:rPr>
      <w:rFonts w:ascii="Cambria" w:hAnsi="Cambria" w:eastAsia="" w:cs="" w:asciiTheme="majorHAnsi" w:cstheme="majorBidi" w:eastAsiaTheme="majorEastAsia" w:hAnsiTheme="majorHAnsi"/>
      <w:sz w:val="22"/>
      <w:szCs w:val="22"/>
    </w:rPr>
  </w:style>
  <w:style w:type="paragraph" w:styleId="Ttulo5">
    <w:name w:val="Heading 5"/>
    <w:basedOn w:val="Normal"/>
    <w:next w:val="Normal"/>
    <w:link w:val="Ttulo5Char"/>
    <w:uiPriority w:val="9"/>
    <w:semiHidden/>
    <w:unhideWhenUsed/>
    <w:qFormat/>
    <w:rsid w:val="0067632b"/>
    <w:pPr>
      <w:keepNext w:val="true"/>
      <w:keepLines/>
      <w:spacing w:before="40" w:after="0"/>
      <w:outlineLvl w:val="4"/>
    </w:pPr>
    <w:rPr>
      <w:rFonts w:ascii="Cambria" w:hAnsi="Cambria" w:eastAsia="" w:cs="" w:asciiTheme="majorHAnsi" w:cstheme="majorBidi" w:eastAsiaTheme="majorEastAsia" w:hAnsiTheme="majorHAnsi"/>
      <w:color w:val="1F497D" w:themeColor="text2"/>
      <w:sz w:val="22"/>
      <w:szCs w:val="22"/>
    </w:rPr>
  </w:style>
  <w:style w:type="paragraph" w:styleId="Ttulo6">
    <w:name w:val="Heading 6"/>
    <w:basedOn w:val="Normal"/>
    <w:next w:val="Normal"/>
    <w:link w:val="Ttulo6Char"/>
    <w:uiPriority w:val="9"/>
    <w:semiHidden/>
    <w:unhideWhenUsed/>
    <w:qFormat/>
    <w:rsid w:val="0067632b"/>
    <w:pPr>
      <w:keepNext w:val="true"/>
      <w:keepLines/>
      <w:spacing w:before="40" w:after="0"/>
      <w:outlineLvl w:val="5"/>
    </w:pPr>
    <w:rPr>
      <w:rFonts w:ascii="Cambria" w:hAnsi="Cambria" w:eastAsia="" w:cs="" w:asciiTheme="majorHAnsi" w:cstheme="majorBidi" w:eastAsiaTheme="majorEastAsia" w:hAnsiTheme="majorHAnsi"/>
      <w:i/>
      <w:iCs/>
      <w:color w:val="1F497D" w:themeColor="text2"/>
      <w:sz w:val="21"/>
      <w:szCs w:val="21"/>
    </w:rPr>
  </w:style>
  <w:style w:type="paragraph" w:styleId="Ttulo7">
    <w:name w:val="Heading 7"/>
    <w:basedOn w:val="Normal"/>
    <w:next w:val="Normal"/>
    <w:link w:val="Ttulo7Char"/>
    <w:uiPriority w:val="9"/>
    <w:semiHidden/>
    <w:unhideWhenUsed/>
    <w:qFormat/>
    <w:rsid w:val="0067632b"/>
    <w:pPr>
      <w:keepNext w:val="true"/>
      <w:keepLines/>
      <w:spacing w:before="40" w:after="0"/>
      <w:outlineLvl w:val="6"/>
    </w:pPr>
    <w:rPr>
      <w:rFonts w:ascii="Cambria" w:hAnsi="Cambria" w:eastAsia="" w:cs="" w:asciiTheme="majorHAnsi" w:cstheme="majorBidi" w:eastAsiaTheme="majorEastAsia" w:hAnsiTheme="majorHAnsi"/>
      <w:i/>
      <w:iCs/>
      <w:color w:val="244061" w:themeColor="accent1" w:themeShade="80"/>
      <w:sz w:val="21"/>
      <w:szCs w:val="21"/>
    </w:rPr>
  </w:style>
  <w:style w:type="paragraph" w:styleId="Ttulo8">
    <w:name w:val="Heading 8"/>
    <w:basedOn w:val="Normal"/>
    <w:next w:val="Normal"/>
    <w:link w:val="Ttulo8Char"/>
    <w:uiPriority w:val="9"/>
    <w:semiHidden/>
    <w:unhideWhenUsed/>
    <w:qFormat/>
    <w:rsid w:val="0067632b"/>
    <w:pPr>
      <w:keepNext w:val="true"/>
      <w:keepLines/>
      <w:spacing w:before="40" w:after="0"/>
      <w:outlineLvl w:val="7"/>
    </w:pPr>
    <w:rPr>
      <w:rFonts w:ascii="Cambria" w:hAnsi="Cambria" w:eastAsia="" w:cs="" w:asciiTheme="majorHAnsi" w:cstheme="majorBidi" w:eastAsiaTheme="majorEastAsia" w:hAnsiTheme="majorHAnsi"/>
      <w:b/>
      <w:bCs/>
      <w:color w:val="1F497D" w:themeColor="text2"/>
    </w:rPr>
  </w:style>
  <w:style w:type="paragraph" w:styleId="Ttulo9">
    <w:name w:val="Heading 9"/>
    <w:basedOn w:val="Normal"/>
    <w:next w:val="Normal"/>
    <w:link w:val="Ttulo9Char"/>
    <w:uiPriority w:val="9"/>
    <w:semiHidden/>
    <w:unhideWhenUsed/>
    <w:qFormat/>
    <w:rsid w:val="0067632b"/>
    <w:pPr>
      <w:keepNext w:val="true"/>
      <w:keepLines/>
      <w:spacing w:before="40" w:after="0"/>
      <w:outlineLvl w:val="8"/>
    </w:pPr>
    <w:rPr>
      <w:rFonts w:ascii="Cambria" w:hAnsi="Cambria" w:eastAsia="" w:cs="" w:asciiTheme="majorHAnsi" w:cstheme="majorBidi" w:eastAsiaTheme="majorEastAsia" w:hAnsiTheme="majorHAnsi"/>
      <w:b/>
      <w:bCs/>
      <w:i/>
      <w:iCs/>
      <w:color w:val="1F497D" w:themeColor="text2"/>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semiHidden/>
    <w:qFormat/>
    <w:rsid w:val="00283ac3"/>
    <w:rPr>
      <w:rFonts w:ascii="Tahoma" w:hAnsi="Tahoma" w:eastAsia="Times New Roman" w:cs="Tahoma"/>
      <w:sz w:val="16"/>
      <w:szCs w:val="16"/>
      <w:lang w:eastAsia="pt-BR"/>
    </w:rPr>
  </w:style>
  <w:style w:type="character" w:styleId="CabealhoChar" w:customStyle="1">
    <w:name w:val="Cabeçalho Char"/>
    <w:link w:val="Cabealho"/>
    <w:uiPriority w:val="99"/>
    <w:qFormat/>
    <w:rsid w:val="00d12051"/>
    <w:rPr>
      <w:rFonts w:eastAsia="Times New Roman"/>
      <w:lang w:eastAsia="pt-BR"/>
    </w:rPr>
  </w:style>
  <w:style w:type="character" w:styleId="RodapChar" w:customStyle="1">
    <w:name w:val="Rodapé Char"/>
    <w:link w:val="Rodap"/>
    <w:uiPriority w:val="99"/>
    <w:qFormat/>
    <w:rsid w:val="00d12051"/>
    <w:rPr>
      <w:rFonts w:eastAsia="Times New Roman"/>
      <w:lang w:eastAsia="pt-BR"/>
    </w:rPr>
  </w:style>
  <w:style w:type="character" w:styleId="LinkdaInternet">
    <w:name w:val="Link da Internet"/>
    <w:uiPriority w:val="99"/>
    <w:unhideWhenUsed/>
    <w:rsid w:val="00d3010a"/>
    <w:rPr>
      <w:color w:val="0000FF"/>
      <w:u w:val="single"/>
    </w:rPr>
  </w:style>
  <w:style w:type="character" w:styleId="Ttulo2Char" w:customStyle="1">
    <w:name w:val="Título 2 Char"/>
    <w:basedOn w:val="DefaultParagraphFont"/>
    <w:link w:val="Ttulo2"/>
    <w:uiPriority w:val="9"/>
    <w:qFormat/>
    <w:rsid w:val="0067632b"/>
    <w:rPr>
      <w:rFonts w:ascii="Cambria" w:hAnsi="Cambria" w:eastAsia="" w:cs="" w:asciiTheme="majorHAnsi" w:cstheme="majorBidi" w:eastAsiaTheme="majorEastAsia" w:hAnsiTheme="majorHAnsi"/>
      <w:color w:val="404040" w:themeColor="text1" w:themeTint="bf"/>
      <w:sz w:val="28"/>
      <w:szCs w:val="28"/>
    </w:rPr>
  </w:style>
  <w:style w:type="character" w:styleId="Linkdainternetvisitado">
    <w:name w:val="Link da internet visitado"/>
    <w:uiPriority w:val="99"/>
    <w:semiHidden/>
    <w:unhideWhenUsed/>
    <w:rsid w:val="00671f1a"/>
    <w:rPr>
      <w:color w:val="800080"/>
      <w:u w:val="single"/>
    </w:rPr>
  </w:style>
  <w:style w:type="character" w:styleId="Annotationreference">
    <w:name w:val="annotation reference"/>
    <w:basedOn w:val="DefaultParagraphFont"/>
    <w:uiPriority w:val="99"/>
    <w:semiHidden/>
    <w:unhideWhenUsed/>
    <w:qFormat/>
    <w:rsid w:val="003c3df3"/>
    <w:rPr>
      <w:sz w:val="16"/>
      <w:szCs w:val="16"/>
    </w:rPr>
  </w:style>
  <w:style w:type="character" w:styleId="TextodecomentrioChar" w:customStyle="1">
    <w:name w:val="Texto de comentário Char"/>
    <w:basedOn w:val="DefaultParagraphFont"/>
    <w:link w:val="Textodecomentrio"/>
    <w:uiPriority w:val="99"/>
    <w:semiHidden/>
    <w:qFormat/>
    <w:rsid w:val="003c3df3"/>
    <w:rPr>
      <w:rFonts w:eastAsia="Times New Roman"/>
    </w:rPr>
  </w:style>
  <w:style w:type="character" w:styleId="AssuntodocomentrioChar" w:customStyle="1">
    <w:name w:val="Assunto do comentário Char"/>
    <w:basedOn w:val="TextodecomentrioChar"/>
    <w:link w:val="Assuntodocomentrio"/>
    <w:uiPriority w:val="99"/>
    <w:semiHidden/>
    <w:qFormat/>
    <w:rsid w:val="003c3df3"/>
    <w:rPr>
      <w:rFonts w:eastAsia="Times New Roman"/>
      <w:b/>
      <w:bCs/>
    </w:rPr>
  </w:style>
  <w:style w:type="character" w:styleId="Estilo11pt" w:customStyle="1">
    <w:name w:val="Estilo 11 pt"/>
    <w:basedOn w:val="DefaultParagraphFont"/>
    <w:qFormat/>
    <w:rsid w:val="00230191"/>
    <w:rPr>
      <w:rFonts w:ascii="Courier New" w:hAnsi="Courier New"/>
      <w:sz w:val="22"/>
    </w:rPr>
  </w:style>
  <w:style w:type="character" w:styleId="Ttulo1Char" w:customStyle="1">
    <w:name w:val="Título 1 Char"/>
    <w:basedOn w:val="DefaultParagraphFont"/>
    <w:link w:val="Ttulo1"/>
    <w:uiPriority w:val="9"/>
    <w:qFormat/>
    <w:rsid w:val="0067632b"/>
    <w:rPr>
      <w:rFonts w:ascii="Cambria" w:hAnsi="Cambria" w:eastAsia="" w:cs="" w:asciiTheme="majorHAnsi" w:cstheme="majorBidi" w:eastAsiaTheme="majorEastAsia" w:hAnsiTheme="majorHAnsi"/>
      <w:color w:val="365F91" w:themeColor="accent1" w:themeShade="bf"/>
      <w:sz w:val="32"/>
      <w:szCs w:val="32"/>
    </w:rPr>
  </w:style>
  <w:style w:type="character" w:styleId="Ttulo3Char" w:customStyle="1">
    <w:name w:val="Título 3 Char"/>
    <w:basedOn w:val="DefaultParagraphFont"/>
    <w:link w:val="Ttulo3"/>
    <w:uiPriority w:val="9"/>
    <w:semiHidden/>
    <w:qFormat/>
    <w:rsid w:val="0067632b"/>
    <w:rPr>
      <w:rFonts w:ascii="Cambria" w:hAnsi="Cambria" w:eastAsia="" w:cs="" w:asciiTheme="majorHAnsi" w:cstheme="majorBidi" w:eastAsiaTheme="majorEastAsia" w:hAnsiTheme="majorHAnsi"/>
      <w:color w:val="1F497D" w:themeColor="text2"/>
      <w:sz w:val="24"/>
      <w:szCs w:val="24"/>
    </w:rPr>
  </w:style>
  <w:style w:type="character" w:styleId="Ttulo4Char" w:customStyle="1">
    <w:name w:val="Título 4 Char"/>
    <w:basedOn w:val="DefaultParagraphFont"/>
    <w:link w:val="Ttulo4"/>
    <w:uiPriority w:val="9"/>
    <w:semiHidden/>
    <w:qFormat/>
    <w:rsid w:val="0067632b"/>
    <w:rPr>
      <w:rFonts w:ascii="Cambria" w:hAnsi="Cambria" w:eastAsia="" w:cs="" w:asciiTheme="majorHAnsi" w:cstheme="majorBidi" w:eastAsiaTheme="majorEastAsia" w:hAnsiTheme="majorHAnsi"/>
      <w:sz w:val="22"/>
      <w:szCs w:val="22"/>
    </w:rPr>
  </w:style>
  <w:style w:type="character" w:styleId="Ttulo5Char" w:customStyle="1">
    <w:name w:val="Título 5 Char"/>
    <w:basedOn w:val="DefaultParagraphFont"/>
    <w:link w:val="Ttulo5"/>
    <w:uiPriority w:val="9"/>
    <w:semiHidden/>
    <w:qFormat/>
    <w:rsid w:val="0067632b"/>
    <w:rPr>
      <w:rFonts w:ascii="Cambria" w:hAnsi="Cambria" w:eastAsia="" w:cs="" w:asciiTheme="majorHAnsi" w:cstheme="majorBidi" w:eastAsiaTheme="majorEastAsia" w:hAnsiTheme="majorHAnsi"/>
      <w:color w:val="1F497D" w:themeColor="text2"/>
      <w:sz w:val="22"/>
      <w:szCs w:val="22"/>
    </w:rPr>
  </w:style>
  <w:style w:type="character" w:styleId="Ttulo6Char" w:customStyle="1">
    <w:name w:val="Título 6 Char"/>
    <w:basedOn w:val="DefaultParagraphFont"/>
    <w:link w:val="Ttulo6"/>
    <w:uiPriority w:val="9"/>
    <w:semiHidden/>
    <w:qFormat/>
    <w:rsid w:val="0067632b"/>
    <w:rPr>
      <w:rFonts w:ascii="Cambria" w:hAnsi="Cambria" w:eastAsia="" w:cs="" w:asciiTheme="majorHAnsi" w:cstheme="majorBidi" w:eastAsiaTheme="majorEastAsia" w:hAnsiTheme="majorHAnsi"/>
      <w:i/>
      <w:iCs/>
      <w:color w:val="1F497D" w:themeColor="text2"/>
      <w:sz w:val="21"/>
      <w:szCs w:val="21"/>
    </w:rPr>
  </w:style>
  <w:style w:type="character" w:styleId="Ttulo7Char" w:customStyle="1">
    <w:name w:val="Título 7 Char"/>
    <w:basedOn w:val="DefaultParagraphFont"/>
    <w:link w:val="Ttulo7"/>
    <w:uiPriority w:val="9"/>
    <w:semiHidden/>
    <w:qFormat/>
    <w:rsid w:val="0067632b"/>
    <w:rPr>
      <w:rFonts w:ascii="Cambria" w:hAnsi="Cambria" w:eastAsia="" w:cs="" w:asciiTheme="majorHAnsi" w:cstheme="majorBidi" w:eastAsiaTheme="majorEastAsia" w:hAnsiTheme="majorHAnsi"/>
      <w:i/>
      <w:iCs/>
      <w:color w:val="244061" w:themeColor="accent1" w:themeShade="80"/>
      <w:sz w:val="21"/>
      <w:szCs w:val="21"/>
    </w:rPr>
  </w:style>
  <w:style w:type="character" w:styleId="Ttulo8Char" w:customStyle="1">
    <w:name w:val="Título 8 Char"/>
    <w:basedOn w:val="DefaultParagraphFont"/>
    <w:link w:val="Ttulo8"/>
    <w:uiPriority w:val="9"/>
    <w:semiHidden/>
    <w:qFormat/>
    <w:rsid w:val="0067632b"/>
    <w:rPr>
      <w:rFonts w:ascii="Cambria" w:hAnsi="Cambria" w:eastAsia="" w:cs="" w:asciiTheme="majorHAnsi" w:cstheme="majorBidi" w:eastAsiaTheme="majorEastAsia" w:hAnsiTheme="majorHAnsi"/>
      <w:b/>
      <w:bCs/>
      <w:color w:val="1F497D" w:themeColor="text2"/>
    </w:rPr>
  </w:style>
  <w:style w:type="character" w:styleId="Ttulo9Char" w:customStyle="1">
    <w:name w:val="Título 9 Char"/>
    <w:basedOn w:val="DefaultParagraphFont"/>
    <w:link w:val="Ttulo9"/>
    <w:uiPriority w:val="9"/>
    <w:semiHidden/>
    <w:qFormat/>
    <w:rsid w:val="0067632b"/>
    <w:rPr>
      <w:rFonts w:ascii="Cambria" w:hAnsi="Cambria" w:eastAsia="" w:cs="" w:asciiTheme="majorHAnsi" w:cstheme="majorBidi" w:eastAsiaTheme="majorEastAsia" w:hAnsiTheme="majorHAnsi"/>
      <w:b/>
      <w:bCs/>
      <w:i/>
      <w:iCs/>
      <w:color w:val="1F497D" w:themeColor="text2"/>
    </w:rPr>
  </w:style>
  <w:style w:type="character" w:styleId="TtuloChar" w:customStyle="1">
    <w:name w:val="Título Char"/>
    <w:basedOn w:val="DefaultParagraphFont"/>
    <w:link w:val="Ttulo"/>
    <w:uiPriority w:val="10"/>
    <w:qFormat/>
    <w:rsid w:val="0067632b"/>
    <w:rPr>
      <w:rFonts w:ascii="Cambria" w:hAnsi="Cambria" w:eastAsia="" w:cs="" w:asciiTheme="majorHAnsi" w:cstheme="majorBidi" w:eastAsiaTheme="majorEastAsia" w:hAnsiTheme="majorHAnsi"/>
      <w:color w:val="4F81BD" w:themeColor="accent1"/>
      <w:spacing w:val="-10"/>
      <w:sz w:val="56"/>
      <w:szCs w:val="56"/>
    </w:rPr>
  </w:style>
  <w:style w:type="character" w:styleId="SubttuloChar" w:customStyle="1">
    <w:name w:val="Subtítulo Char"/>
    <w:basedOn w:val="DefaultParagraphFont"/>
    <w:link w:val="Subttulo"/>
    <w:uiPriority w:val="11"/>
    <w:qFormat/>
    <w:rsid w:val="0067632b"/>
    <w:rPr>
      <w:rFonts w:ascii="Cambria" w:hAnsi="Cambria" w:eastAsia="" w:cs="" w:asciiTheme="majorHAnsi" w:cstheme="majorBidi" w:eastAsiaTheme="majorEastAsia" w:hAnsiTheme="majorHAnsi"/>
      <w:sz w:val="24"/>
      <w:szCs w:val="24"/>
    </w:rPr>
  </w:style>
  <w:style w:type="character" w:styleId="Strong">
    <w:name w:val="Strong"/>
    <w:basedOn w:val="DefaultParagraphFont"/>
    <w:uiPriority w:val="22"/>
    <w:qFormat/>
    <w:rsid w:val="0067632b"/>
    <w:rPr>
      <w:b/>
      <w:bCs/>
    </w:rPr>
  </w:style>
  <w:style w:type="character" w:styleId="Nfase">
    <w:name w:val="Ênfase"/>
    <w:basedOn w:val="DefaultParagraphFont"/>
    <w:uiPriority w:val="20"/>
    <w:qFormat/>
    <w:rsid w:val="0067632b"/>
    <w:rPr>
      <w:i/>
      <w:iCs/>
    </w:rPr>
  </w:style>
  <w:style w:type="character" w:styleId="CitaoChar" w:customStyle="1">
    <w:name w:val="Citação Char"/>
    <w:basedOn w:val="DefaultParagraphFont"/>
    <w:link w:val="Citao"/>
    <w:uiPriority w:val="29"/>
    <w:qFormat/>
    <w:rsid w:val="0067632b"/>
    <w:rPr>
      <w:i/>
      <w:iCs/>
      <w:color w:val="404040" w:themeColor="text1" w:themeTint="bf"/>
    </w:rPr>
  </w:style>
  <w:style w:type="character" w:styleId="CitaoIntensaChar" w:customStyle="1">
    <w:name w:val="Citação Intensa Char"/>
    <w:basedOn w:val="DefaultParagraphFont"/>
    <w:link w:val="CitaoIntensa"/>
    <w:uiPriority w:val="30"/>
    <w:qFormat/>
    <w:rsid w:val="0067632b"/>
    <w:rPr>
      <w:rFonts w:ascii="Cambria" w:hAnsi="Cambria" w:eastAsia="" w:cs="" w:asciiTheme="majorHAnsi" w:cstheme="majorBidi" w:eastAsiaTheme="majorEastAsia" w:hAnsiTheme="majorHAnsi"/>
      <w:color w:val="4F81BD" w:themeColor="accent1"/>
      <w:sz w:val="28"/>
      <w:szCs w:val="28"/>
    </w:rPr>
  </w:style>
  <w:style w:type="character" w:styleId="SubtleEmphasis">
    <w:name w:val="Subtle Emphasis"/>
    <w:basedOn w:val="DefaultParagraphFont"/>
    <w:uiPriority w:val="19"/>
    <w:qFormat/>
    <w:rsid w:val="0067632b"/>
    <w:rPr>
      <w:i/>
      <w:iCs/>
      <w:color w:val="404040" w:themeColor="text1" w:themeTint="bf"/>
    </w:rPr>
  </w:style>
  <w:style w:type="character" w:styleId="IntenseEmphasis">
    <w:name w:val="Intense Emphasis"/>
    <w:basedOn w:val="DefaultParagraphFont"/>
    <w:uiPriority w:val="21"/>
    <w:qFormat/>
    <w:rsid w:val="0067632b"/>
    <w:rPr>
      <w:b/>
      <w:bCs/>
      <w:i/>
      <w:iCs/>
    </w:rPr>
  </w:style>
  <w:style w:type="character" w:styleId="SubtleReference">
    <w:name w:val="Subtle Reference"/>
    <w:basedOn w:val="DefaultParagraphFont"/>
    <w:uiPriority w:val="31"/>
    <w:qFormat/>
    <w:rsid w:val="0067632b"/>
    <w:rPr>
      <w:smallCaps/>
      <w:color w:val="404040" w:themeColor="text1" w:themeTint="bf"/>
      <w:u w:val="single" w:color="7F7F7F"/>
    </w:rPr>
  </w:style>
  <w:style w:type="character" w:styleId="IntenseReference">
    <w:name w:val="Intense Reference"/>
    <w:basedOn w:val="DefaultParagraphFont"/>
    <w:uiPriority w:val="32"/>
    <w:qFormat/>
    <w:rsid w:val="0067632b"/>
    <w:rPr>
      <w:b/>
      <w:bCs/>
      <w:smallCaps/>
      <w:spacing w:val="5"/>
      <w:u w:val="single"/>
    </w:rPr>
  </w:style>
  <w:style w:type="character" w:styleId="BookTitle">
    <w:name w:val="Book Title"/>
    <w:basedOn w:val="DefaultParagraphFont"/>
    <w:uiPriority w:val="33"/>
    <w:qFormat/>
    <w:rsid w:val="0067632b"/>
    <w:rPr>
      <w:b/>
      <w:bCs/>
      <w:smallCaps/>
    </w:rPr>
  </w:style>
  <w:style w:type="character" w:styleId="WWCharLFO6LVL1">
    <w:name w:val="WW_CharLFO6LVL1"/>
    <w:qFormat/>
    <w:rPr>
      <w:rFonts w:ascii="Calibri" w:hAnsi="Calibri" w:cs="Calibri"/>
      <w:b w:val="false"/>
      <w:bCs w:val="false"/>
      <w:color w:val="000000"/>
      <w:szCs w:val="24"/>
    </w:rPr>
  </w:style>
  <w:style w:type="character" w:styleId="WWCharLFO6LVL2">
    <w:name w:val="WW_CharLFO6LVL2"/>
    <w:qFormat/>
    <w:rPr>
      <w:rFonts w:ascii="Calibri" w:hAnsi="Calibri" w:cs="Calibri"/>
      <w:b/>
      <w:bCs/>
    </w:rPr>
  </w:style>
  <w:style w:type="character" w:styleId="WWCharLFO6LVL3">
    <w:name w:val="WW_CharLFO6LVL3"/>
    <w:qFormat/>
    <w:rPr>
      <w:rFonts w:ascii="Calibri" w:hAnsi="Calibri" w:cs="Calibri"/>
      <w:b/>
      <w:bCs/>
    </w:rPr>
  </w:style>
  <w:style w:type="character" w:styleId="WWCharLFO6LVL4">
    <w:name w:val="WW_CharLFO6LVL4"/>
    <w:qFormat/>
    <w:rPr>
      <w:rFonts w:ascii="Calibri" w:hAnsi="Calibri" w:cs="Calibri"/>
      <w:b/>
      <w:bCs/>
    </w:rPr>
  </w:style>
  <w:style w:type="character" w:styleId="WWCharLFO6LVL5">
    <w:name w:val="WW_CharLFO6LVL5"/>
    <w:qFormat/>
    <w:rPr>
      <w:rFonts w:ascii="Calibri" w:hAnsi="Calibri" w:cs="Calibri"/>
      <w:b/>
      <w:bCs/>
    </w:rPr>
  </w:style>
  <w:style w:type="character" w:styleId="WWCharLFO6LVL6">
    <w:name w:val="WW_CharLFO6LVL6"/>
    <w:qFormat/>
    <w:rPr>
      <w:rFonts w:ascii="Calibri" w:hAnsi="Calibri" w:cs="Calibri"/>
      <w:b/>
      <w:bCs/>
    </w:rPr>
  </w:style>
  <w:style w:type="character" w:styleId="WWCharLFO6LVL7">
    <w:name w:val="WW_CharLFO6LVL7"/>
    <w:qFormat/>
    <w:rPr>
      <w:rFonts w:ascii="Calibri" w:hAnsi="Calibri" w:cs="Calibri"/>
      <w:b/>
      <w:bCs/>
    </w:rPr>
  </w:style>
  <w:style w:type="character" w:styleId="WWCharLFO6LVL8">
    <w:name w:val="WW_CharLFO6LVL8"/>
    <w:qFormat/>
    <w:rPr>
      <w:rFonts w:ascii="Calibri" w:hAnsi="Calibri" w:cs="Calibri"/>
      <w:b/>
      <w:bCs/>
    </w:rPr>
  </w:style>
  <w:style w:type="character" w:styleId="WWCharLFO6LVL9">
    <w:name w:val="WW_CharLFO6LVL9"/>
    <w:qFormat/>
    <w:rPr>
      <w:rFonts w:ascii="Calibri" w:hAnsi="Calibri" w:cs="Calibri"/>
      <w:b/>
      <w:bCs/>
    </w:rPr>
  </w:style>
  <w:style w:type="character" w:styleId="Fontepargpadro">
    <w:name w:val="Fonte parág. padrão"/>
    <w:qFormat/>
    <w:rPr/>
  </w:style>
  <w:style w:type="character" w:styleId="Fontepargpadro4">
    <w:name w:val="Fonte parág. padrão4"/>
    <w:qFormat/>
    <w:rPr/>
  </w:style>
  <w:style w:type="character" w:styleId="Fontepargpadro3">
    <w:name w:val="Fonte parág. padrão3"/>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BalloonText">
    <w:name w:val="Balloon Text"/>
    <w:basedOn w:val="Normal"/>
    <w:link w:val="TextodebaloChar"/>
    <w:uiPriority w:val="99"/>
    <w:semiHidden/>
    <w:unhideWhenUsed/>
    <w:qFormat/>
    <w:rsid w:val="00283ac3"/>
    <w:pPr>
      <w:spacing w:lineRule="auto" w:line="240" w:before="0" w:after="0"/>
    </w:pPr>
    <w:rPr>
      <w:rFonts w:ascii="Tahoma" w:hAnsi="Tahoma"/>
      <w:sz w:val="16"/>
      <w:szCs w:val="16"/>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d12051"/>
    <w:pPr>
      <w:tabs>
        <w:tab w:val="clear" w:pos="709"/>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d12051"/>
    <w:pPr>
      <w:tabs>
        <w:tab w:val="clear" w:pos="709"/>
        <w:tab w:val="center" w:pos="4252" w:leader="none"/>
        <w:tab w:val="right" w:pos="8504" w:leader="none"/>
      </w:tabs>
      <w:spacing w:lineRule="auto" w:line="240" w:before="0" w:after="0"/>
    </w:pPr>
    <w:rPr/>
  </w:style>
  <w:style w:type="paragraph" w:styleId="NormalWeb">
    <w:name w:val="Normal (Web)"/>
    <w:basedOn w:val="Normal"/>
    <w:uiPriority w:val="99"/>
    <w:semiHidden/>
    <w:unhideWhenUsed/>
    <w:qFormat/>
    <w:rsid w:val="005c0c1f"/>
    <w:pPr>
      <w:spacing w:lineRule="auto" w:line="240" w:beforeAutospacing="1" w:afterAutospacing="1"/>
    </w:pPr>
    <w:rPr>
      <w:rFonts w:ascii="Times New Roman" w:hAnsi="Times New Roman"/>
      <w:sz w:val="24"/>
      <w:szCs w:val="24"/>
    </w:rPr>
  </w:style>
  <w:style w:type="paragraph" w:styleId="Item" w:customStyle="1">
    <w:name w:val="Item"/>
    <w:basedOn w:val="Normal"/>
    <w:uiPriority w:val="99"/>
    <w:qFormat/>
    <w:rsid w:val="009324d8"/>
    <w:pPr>
      <w:overflowPunct w:val="true"/>
      <w:spacing w:lineRule="auto" w:line="240" w:before="480" w:after="0"/>
    </w:pPr>
    <w:rPr>
      <w:rFonts w:ascii="Arial" w:hAnsi="Arial" w:cs="Arial"/>
      <w:b/>
      <w:bCs/>
      <w:sz w:val="24"/>
      <w:szCs w:val="24"/>
    </w:rPr>
  </w:style>
  <w:style w:type="paragraph" w:styleId="Annotationtext">
    <w:name w:val="annotation text"/>
    <w:basedOn w:val="Normal"/>
    <w:link w:val="TextodecomentrioChar"/>
    <w:uiPriority w:val="99"/>
    <w:semiHidden/>
    <w:unhideWhenUsed/>
    <w:qFormat/>
    <w:rsid w:val="003c3df3"/>
    <w:pPr/>
    <w:rPr/>
  </w:style>
  <w:style w:type="paragraph" w:styleId="Annotationsubject">
    <w:name w:val="annotation subject"/>
    <w:basedOn w:val="Annotationtext"/>
    <w:next w:val="Annotationtext"/>
    <w:link w:val="AssuntodocomentrioChar"/>
    <w:uiPriority w:val="99"/>
    <w:semiHidden/>
    <w:unhideWhenUsed/>
    <w:qFormat/>
    <w:rsid w:val="003c3df3"/>
    <w:pPr/>
    <w:rPr>
      <w:b/>
      <w:bCs/>
    </w:rPr>
  </w:style>
  <w:style w:type="paragraph" w:styleId="ListParagraph">
    <w:name w:val="List Paragraph"/>
    <w:basedOn w:val="Normal"/>
    <w:uiPriority w:val="34"/>
    <w:qFormat/>
    <w:rsid w:val="003358ef"/>
    <w:pPr>
      <w:spacing w:before="0" w:after="120"/>
      <w:ind w:left="720" w:hanging="0"/>
      <w:contextualSpacing/>
    </w:pPr>
    <w:rPr/>
  </w:style>
  <w:style w:type="paragraph" w:styleId="Caption">
    <w:name w:val="caption"/>
    <w:basedOn w:val="Normal"/>
    <w:next w:val="Normal"/>
    <w:uiPriority w:val="35"/>
    <w:semiHidden/>
    <w:unhideWhenUsed/>
    <w:qFormat/>
    <w:rsid w:val="0067632b"/>
    <w:pPr>
      <w:spacing w:lineRule="auto" w:line="240"/>
    </w:pPr>
    <w:rPr>
      <w:b/>
      <w:bCs/>
      <w:smallCaps/>
      <w:color w:val="595959" w:themeColor="text1" w:themeTint="a6"/>
      <w:spacing w:val="6"/>
    </w:rPr>
  </w:style>
  <w:style w:type="paragraph" w:styleId="Ttulododocumento">
    <w:name w:val="Title"/>
    <w:basedOn w:val="Normal"/>
    <w:next w:val="Normal"/>
    <w:link w:val="TtuloChar"/>
    <w:uiPriority w:val="10"/>
    <w:qFormat/>
    <w:rsid w:val="0067632b"/>
    <w:pPr>
      <w:spacing w:lineRule="auto" w:line="240" w:before="0" w:after="0"/>
      <w:contextualSpacing/>
    </w:pPr>
    <w:rPr>
      <w:rFonts w:ascii="Cambria" w:hAnsi="Cambria" w:eastAsia="" w:cs="" w:asciiTheme="majorHAnsi" w:cstheme="majorBidi" w:eastAsiaTheme="majorEastAsia" w:hAnsiTheme="majorHAnsi"/>
      <w:color w:val="4F81BD" w:themeColor="accent1"/>
      <w:spacing w:val="-10"/>
      <w:sz w:val="56"/>
      <w:szCs w:val="56"/>
    </w:rPr>
  </w:style>
  <w:style w:type="paragraph" w:styleId="Subttulo">
    <w:name w:val="Subtitle"/>
    <w:basedOn w:val="Normal"/>
    <w:next w:val="Normal"/>
    <w:link w:val="SubttuloChar"/>
    <w:uiPriority w:val="11"/>
    <w:qFormat/>
    <w:rsid w:val="0067632b"/>
    <w:pPr>
      <w:spacing w:lineRule="auto" w:line="240"/>
    </w:pPr>
    <w:rPr>
      <w:rFonts w:ascii="Cambria" w:hAnsi="Cambria" w:eastAsia="" w:cs="" w:asciiTheme="majorHAnsi" w:cstheme="majorBidi" w:eastAsiaTheme="majorEastAsia" w:hAnsiTheme="majorHAnsi"/>
      <w:sz w:val="24"/>
      <w:szCs w:val="24"/>
    </w:rPr>
  </w:style>
  <w:style w:type="paragraph" w:styleId="NoSpacing">
    <w:name w:val="No Spacing"/>
    <w:uiPriority w:val="1"/>
    <w:qFormat/>
    <w:rsid w:val="0067632b"/>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0"/>
      <w:szCs w:val="20"/>
      <w:lang w:val="pt-BR" w:eastAsia="pt-BR" w:bidi="ar-SA"/>
    </w:rPr>
  </w:style>
  <w:style w:type="paragraph" w:styleId="Quote">
    <w:name w:val="Quote"/>
    <w:basedOn w:val="Normal"/>
    <w:next w:val="Normal"/>
    <w:link w:val="CitaoChar"/>
    <w:uiPriority w:val="29"/>
    <w:qFormat/>
    <w:rsid w:val="0067632b"/>
    <w:pPr>
      <w:spacing w:before="160" w:after="120"/>
      <w:ind w:left="720" w:right="720" w:hanging="0"/>
    </w:pPr>
    <w:rPr>
      <w:i/>
      <w:iCs/>
      <w:color w:val="404040" w:themeColor="text1" w:themeTint="bf"/>
    </w:rPr>
  </w:style>
  <w:style w:type="paragraph" w:styleId="IntenseQuote">
    <w:name w:val="Intense Quote"/>
    <w:basedOn w:val="Normal"/>
    <w:next w:val="Normal"/>
    <w:link w:val="CitaoIntensaChar"/>
    <w:uiPriority w:val="30"/>
    <w:qFormat/>
    <w:rsid w:val="0067632b"/>
    <w:pPr>
      <w:pBdr>
        <w:left w:val="single" w:sz="18" w:space="12" w:color="4F81BD"/>
      </w:pBdr>
      <w:spacing w:lineRule="auto" w:line="300" w:beforeAutospacing="1" w:after="120"/>
      <w:ind w:left="1224" w:right="1224" w:hanging="0"/>
    </w:pPr>
    <w:rPr>
      <w:rFonts w:ascii="Cambria" w:hAnsi="Cambria" w:eastAsia="" w:cs="" w:asciiTheme="majorHAnsi" w:cstheme="majorBidi" w:eastAsiaTheme="majorEastAsia" w:hAnsiTheme="majorHAnsi"/>
      <w:color w:val="4F81BD" w:themeColor="accent1"/>
      <w:sz w:val="28"/>
      <w:szCs w:val="28"/>
    </w:rPr>
  </w:style>
  <w:style w:type="paragraph" w:styleId="TOCHeading">
    <w:name w:val="TOC Heading"/>
    <w:basedOn w:val="Ttulo1"/>
    <w:next w:val="Normal"/>
    <w:uiPriority w:val="39"/>
    <w:semiHidden/>
    <w:unhideWhenUsed/>
    <w:qFormat/>
    <w:rsid w:val="0067632b"/>
    <w:pPr/>
    <w:rPr/>
  </w:style>
  <w:style w:type="paragraph" w:styleId="Contedodatabela">
    <w:name w:val="Conteúdo da tabela"/>
    <w:basedOn w:val="Normal"/>
    <w:qFormat/>
    <w:pPr>
      <w:suppressLineNumbers/>
    </w:pPr>
    <w:rPr/>
  </w:style>
  <w:style w:type="paragraph" w:styleId="Padro">
    <w:name w:val="Padrão"/>
    <w:qFormat/>
    <w:pPr>
      <w:widowControl/>
      <w:tabs>
        <w:tab w:val="clear" w:pos="709"/>
        <w:tab w:val="left" w:pos="708" w:leader="none"/>
      </w:tabs>
      <w:suppressAutoHyphens w:val="true"/>
      <w:bidi w:val="0"/>
      <w:spacing w:lineRule="auto" w:line="276" w:before="0" w:after="200"/>
      <w:jc w:val="left"/>
    </w:pPr>
    <w:rPr>
      <w:rFonts w:ascii="Times New Roman" w:hAnsi="Times New Roman" w:eastAsia="Lucida Sans Unicode" w:cs="Times New Roman"/>
      <w:color w:val="auto"/>
      <w:kern w:val="0"/>
      <w:sz w:val="20"/>
      <w:szCs w:val="20"/>
      <w:lang w:val="pt-BR" w:eastAsia="pt-BR" w:bidi="ar-SA"/>
    </w:rPr>
  </w:style>
  <w:style w:type="paragraph" w:styleId="A060169">
    <w:name w:val="_A060169"/>
    <w:qFormat/>
    <w:pPr>
      <w:widowControl/>
      <w:suppressAutoHyphens w:val="true"/>
      <w:bidi w:val="0"/>
      <w:spacing w:before="0" w:after="0"/>
      <w:ind w:left="0" w:right="0" w:firstLine="720"/>
      <w:jc w:val="both"/>
    </w:pPr>
    <w:rPr>
      <w:rFonts w:ascii="Times New Roman" w:hAnsi="Times New Roman" w:eastAsia="Times New Roman" w:cs="Times New Roman"/>
      <w:color w:val="000000"/>
      <w:kern w:val="0"/>
      <w:sz w:val="20"/>
      <w:szCs w:val="20"/>
      <w:lang w:val="pt-BR" w:eastAsia="pt-BR" w:bidi="ar-SA"/>
    </w:rPr>
  </w:style>
  <w:style w:type="paragraph" w:styleId="Ttulodetabela">
    <w:name w:val="Título de tabela"/>
    <w:basedOn w:val="Contedodatabela"/>
    <w:qFormat/>
    <w:pPr>
      <w:suppressLineNumbers/>
      <w:jc w:val="center"/>
    </w:pPr>
    <w:rPr>
      <w:b/>
      <w:bCs/>
    </w:rPr>
  </w:style>
  <w:style w:type="paragraph" w:styleId="A050168">
    <w:name w:val="_A050168"/>
    <w:qFormat/>
    <w:pPr>
      <w:widowControl/>
      <w:suppressAutoHyphens w:val="true"/>
      <w:bidi w:val="0"/>
      <w:spacing w:before="0" w:after="0"/>
      <w:ind w:left="0" w:right="0" w:firstLine="576"/>
      <w:jc w:val="both"/>
    </w:pPr>
    <w:rPr>
      <w:rFonts w:ascii="Times New Roman" w:hAnsi="Times New Roman" w:eastAsia="Times New Roman" w:cs="Times New Roman"/>
      <w:color w:val="000000"/>
      <w:kern w:val="0"/>
      <w:sz w:val="20"/>
      <w:szCs w:val="20"/>
      <w:lang w:val="pt-BR" w:eastAsia="pt-BR" w:bidi="ar-SA"/>
    </w:rPr>
  </w:style>
  <w:style w:type="numbering" w:styleId="NoList" w:default="1">
    <w:name w:val="No List"/>
    <w:uiPriority w:val="99"/>
    <w:semiHidden/>
    <w:unhideWhenUsed/>
    <w:qFormat/>
  </w:style>
  <w:style w:type="numbering" w:styleId="WW8Num4">
    <w:name w:val="WW8Num4"/>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59"/>
    <w:rsid w:val="000d2a4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www.marinha.mil.br/com4dn" TargetMode="External"/><Relationship Id="rId5" Type="http://schemas.openxmlformats.org/officeDocument/2006/relationships/hyperlink" Target="mailto:marilucia.silva@marinha.mil.br" TargetMode="External"/><Relationship Id="rId6" Type="http://schemas.openxmlformats.org/officeDocument/2006/relationships/hyperlink" Target="mailto:camila.holanda@marinha.mil.br" TargetMode="External"/><Relationship Id="rId7" Type="http://schemas.openxmlformats.org/officeDocument/2006/relationships/hyperlink" Target="mailto:marilucia.silva@marinha.mil.br" TargetMode="External"/><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0735B-7BE8-4D97-A9C3-5DDABD73982A}">
  <ds:schemaRefs>
    <ds:schemaRef ds:uri="http://schemas.openxmlformats.org/officeDocument/2006/bibliography"/>
  </ds:schemaRefs>
</ds:datastoreItem>
</file>

<file path=customXml/itemProps2.xml><?xml version="1.0" encoding="utf-8"?>
<ds:datastoreItem xmlns:ds="http://schemas.openxmlformats.org/officeDocument/2006/customXml" ds:itemID="{296092C2-1F4E-4A3B-A318-876095AD0036}">
  <ds:schemaRefs>
    <ds:schemaRef ds:uri="http://schemas.microsoft.com/sharepoint/v3/contenttype/forms"/>
  </ds:schemaRefs>
</ds:datastoreItem>
</file>

<file path=customXml/itemProps3.xml><?xml version="1.0" encoding="utf-8"?>
<ds:datastoreItem xmlns:ds="http://schemas.openxmlformats.org/officeDocument/2006/customXml" ds:itemID="{86D8B986-FCFE-4778-A554-17FDF919F3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43A225-7FC3-46B5-93C0-CE2DE85B9C80}"/>
</file>

<file path=docProps/app.xml><?xml version="1.0" encoding="utf-8"?>
<Properties xmlns="http://schemas.openxmlformats.org/officeDocument/2006/extended-properties" xmlns:vt="http://schemas.openxmlformats.org/officeDocument/2006/docPropsVTypes">
  <Template>Normal.dotm</Template>
  <TotalTime>5468</TotalTime>
  <Application>LibreOffice/6.4.7.2$Linux_X86_64 LibreOffice_project/40$Build-2</Application>
  <Pages>33</Pages>
  <Words>11911</Words>
  <Characters>69030</Characters>
  <CharactersWithSpaces>81093</CharactersWithSpaces>
  <Paragraphs>501</Paragraphs>
  <Company>MACV</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2024-02-16T12:33:00Z</dcterms:created>
  <dc:creator>Aristhéa Totti Silva Castelo Branco de Alencar</dc:creator>
  <dc:description/>
  <dc:language>pt-BR</dc:language>
  <cp:lastModifiedBy/>
  <cp:lastPrinted>2024-06-27T17:38:26Z</cp:lastPrinted>
  <dcterms:modified xsi:type="dcterms:W3CDTF">2024-08-20T10:41:25Z</dcterms:modified>
  <cp:revision>135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MACV</vt:lpwstr>
  </property>
  <property fmtid="{D5CDD505-2E9C-101B-9397-08002B2CF9AE}" pid="4" name="ContentTypeId">
    <vt:lpwstr>0x0101005A08D7DBFEB39F4993BAF4471592047B</vt:lpwstr>
  </property>
  <property fmtid="{D5CDD505-2E9C-101B-9397-08002B2CF9AE}" pid="5" name="Order">
    <vt:i4>34293900</vt:i4>
  </property>
</Properties>
</file>